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4132"/>
        <w:gridCol w:w="1497"/>
        <w:gridCol w:w="1314"/>
        <w:gridCol w:w="1818"/>
      </w:tblGrid>
      <w:tr w:rsidR="004A47C0" w:rsidRPr="003623D4" w:rsidTr="004A47C0">
        <w:trPr>
          <w:trHeight w:val="378"/>
        </w:trPr>
        <w:tc>
          <w:tcPr>
            <w:tcW w:w="6219" w:type="dxa"/>
            <w:gridSpan w:val="3"/>
            <w:tcBorders>
              <w:bottom w:val="single" w:sz="4" w:space="0" w:color="auto"/>
            </w:tcBorders>
          </w:tcPr>
          <w:p w:rsidR="004A47C0" w:rsidRPr="004A47C0" w:rsidRDefault="004A47C0" w:rsidP="00B7215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4A47C0">
              <w:rPr>
                <w:rFonts w:ascii="Arial" w:hAnsi="Arial" w:cs="Arial"/>
                <w:b/>
                <w:sz w:val="24"/>
                <w:szCs w:val="24"/>
                <w:u w:val="single"/>
              </w:rPr>
              <w:t>SCHEDULE OF SAVINGS PROPOSALS</w:t>
            </w:r>
          </w:p>
        </w:tc>
        <w:tc>
          <w:tcPr>
            <w:tcW w:w="3132" w:type="dxa"/>
            <w:gridSpan w:val="2"/>
            <w:tcBorders>
              <w:bottom w:val="single" w:sz="4" w:space="0" w:color="auto"/>
            </w:tcBorders>
            <w:noWrap/>
          </w:tcPr>
          <w:p w:rsidR="004A47C0" w:rsidRDefault="004A47C0" w:rsidP="004A47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623D4">
              <w:rPr>
                <w:rFonts w:ascii="Arial" w:hAnsi="Arial" w:cs="Arial"/>
                <w:b/>
                <w:sz w:val="24"/>
                <w:szCs w:val="24"/>
              </w:rPr>
              <w:t>APPENDIX 10</w:t>
            </w:r>
          </w:p>
          <w:p w:rsidR="005C3E71" w:rsidRDefault="005C3E71" w:rsidP="004A47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3E71" w:rsidRPr="003623D4" w:rsidRDefault="005C3E71" w:rsidP="004A47C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2151" w:rsidRPr="00B72151" w:rsidTr="004A47C0">
        <w:trPr>
          <w:trHeight w:val="3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Description of Saving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2151" w:rsidRPr="00B72151" w:rsidRDefault="00B7215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2021/22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2151" w:rsidRPr="00B72151" w:rsidRDefault="00B72151" w:rsidP="004A47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202</w:t>
            </w:r>
            <w:r w:rsidR="004A47C0">
              <w:rPr>
                <w:rFonts w:ascii="Arial" w:hAnsi="Arial" w:cs="Arial"/>
                <w:sz w:val="24"/>
                <w:szCs w:val="24"/>
              </w:rPr>
              <w:t>2/23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 xml:space="preserve">Total Ongoing </w:t>
            </w:r>
          </w:p>
        </w:tc>
      </w:tr>
      <w:tr w:rsidR="00B72151" w:rsidRPr="00B72151" w:rsidTr="004A47C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Default="00B7215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£</w:t>
            </w:r>
          </w:p>
          <w:p w:rsidR="005C3E71" w:rsidRPr="00B72151" w:rsidRDefault="005C3E7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£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B72151" w:rsidRPr="00B72151" w:rsidTr="004A47C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Service Restructures</w:t>
            </w:r>
            <w:r w:rsidR="004A47C0">
              <w:rPr>
                <w:rFonts w:ascii="Arial" w:hAnsi="Arial" w:cs="Arial"/>
                <w:sz w:val="24"/>
                <w:szCs w:val="24"/>
              </w:rPr>
              <w:t>, staff savings and capitalisation</w:t>
            </w:r>
            <w:r w:rsidRPr="00B72151">
              <w:rPr>
                <w:rFonts w:ascii="Arial" w:hAnsi="Arial" w:cs="Arial"/>
                <w:sz w:val="24"/>
                <w:szCs w:val="24"/>
              </w:rPr>
              <w:t xml:space="preserve"> across the organisation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1,099,850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189,385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1,289,235</w:t>
            </w:r>
          </w:p>
        </w:tc>
      </w:tr>
      <w:tr w:rsidR="00B72151" w:rsidRPr="00B72151" w:rsidTr="004A47C0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Income generation including Nuplace, BIT fees, APT fees, leisure services and trading operations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884,665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232,273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1,116,938</w:t>
            </w:r>
          </w:p>
        </w:tc>
      </w:tr>
      <w:tr w:rsidR="00B72151" w:rsidRPr="00B72151" w:rsidTr="004A47C0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Additional Property Investment Portfolio investment income as a result of the Growth Fund investment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433,225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180,218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613,443</w:t>
            </w:r>
          </w:p>
        </w:tc>
      </w:tr>
      <w:tr w:rsidR="00B72151" w:rsidRPr="00B72151" w:rsidTr="004A47C0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5C3E7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Children's Safeguarding - reduced placement costs through the cost improvement strategy and benefits from the implementation of the Family Safeguarding Model (Hertfordshire</w:t>
            </w:r>
            <w:r w:rsidR="00312A62">
              <w:rPr>
                <w:rFonts w:ascii="Arial" w:hAnsi="Arial" w:cs="Arial"/>
                <w:sz w:val="24"/>
                <w:szCs w:val="24"/>
              </w:rPr>
              <w:t xml:space="preserve"> Project</w:t>
            </w:r>
            <w:r w:rsidRPr="00B72151">
              <w:rPr>
                <w:rFonts w:ascii="Arial" w:hAnsi="Arial" w:cs="Arial"/>
                <w:sz w:val="24"/>
                <w:szCs w:val="24"/>
              </w:rPr>
              <w:t>)</w:t>
            </w:r>
            <w:r w:rsidR="005C3E71">
              <w:rPr>
                <w:rFonts w:ascii="Arial" w:hAnsi="Arial" w:cs="Arial"/>
                <w:sz w:val="24"/>
                <w:szCs w:val="24"/>
              </w:rPr>
              <w:t>. These savings will be reinvested within the service rather than reducing the safeguarding budget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1,100,000</w:t>
            </w:r>
          </w:p>
        </w:tc>
      </w:tr>
      <w:tr w:rsidR="00B72151" w:rsidRPr="00B72151" w:rsidTr="004A47C0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5C3E7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 xml:space="preserve">Adult Social Care </w:t>
            </w:r>
            <w:r w:rsidR="00312A62">
              <w:rPr>
                <w:rFonts w:ascii="Arial" w:hAnsi="Arial" w:cs="Arial"/>
                <w:sz w:val="24"/>
                <w:szCs w:val="24"/>
              </w:rPr>
              <w:t>–</w:t>
            </w:r>
            <w:r w:rsidRPr="00B721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A62">
              <w:rPr>
                <w:rFonts w:ascii="Arial" w:hAnsi="Arial" w:cs="Arial"/>
                <w:sz w:val="24"/>
                <w:szCs w:val="24"/>
              </w:rPr>
              <w:t>benefits from</w:t>
            </w:r>
            <w:r w:rsidRPr="00B72151">
              <w:rPr>
                <w:rFonts w:ascii="Arial" w:hAnsi="Arial" w:cs="Arial"/>
                <w:sz w:val="24"/>
                <w:szCs w:val="24"/>
              </w:rPr>
              <w:t xml:space="preserve"> community and family based support and </w:t>
            </w:r>
            <w:r w:rsidR="00312A62">
              <w:rPr>
                <w:rFonts w:ascii="Arial" w:hAnsi="Arial" w:cs="Arial"/>
                <w:sz w:val="24"/>
                <w:szCs w:val="24"/>
              </w:rPr>
              <w:t>increased</w:t>
            </w:r>
            <w:r w:rsidRPr="00B72151">
              <w:rPr>
                <w:rFonts w:ascii="Arial" w:hAnsi="Arial" w:cs="Arial"/>
                <w:sz w:val="24"/>
                <w:szCs w:val="24"/>
              </w:rPr>
              <w:t xml:space="preserve"> use of technology</w:t>
            </w:r>
            <w:r w:rsidR="005C3E71">
              <w:rPr>
                <w:rFonts w:ascii="Arial" w:hAnsi="Arial" w:cs="Arial"/>
                <w:sz w:val="24"/>
                <w:szCs w:val="24"/>
              </w:rPr>
              <w:t>.  These savings will be reinvested within ASC rather than used to reduce the budget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550,000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550,000</w:t>
            </w:r>
          </w:p>
        </w:tc>
      </w:tr>
      <w:tr w:rsidR="00B72151" w:rsidRPr="00B72151" w:rsidTr="004A47C0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5C3E7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 xml:space="preserve">My Options - reduction in transport costs following changes in user numbers; together with a </w:t>
            </w:r>
            <w:r w:rsidR="00312A62">
              <w:rPr>
                <w:rFonts w:ascii="Arial" w:hAnsi="Arial" w:cs="Arial"/>
                <w:sz w:val="24"/>
                <w:szCs w:val="24"/>
              </w:rPr>
              <w:t xml:space="preserve">service </w:t>
            </w:r>
            <w:r w:rsidR="005C3E71">
              <w:rPr>
                <w:rFonts w:ascii="Arial" w:hAnsi="Arial" w:cs="Arial"/>
                <w:sz w:val="24"/>
                <w:szCs w:val="24"/>
              </w:rPr>
              <w:t>review.  These savings will be reinvested within ASC services rather than reducing the budget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</w:tr>
      <w:tr w:rsidR="00B72151" w:rsidRPr="00B72151" w:rsidTr="004A47C0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Savings on mileage and travel costs across the organisation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B72151" w:rsidRPr="00B72151" w:rsidTr="004A47C0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Treasury Management - review of alternative borrowing sources and underlying treasury assumptions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500,000</w:t>
            </w:r>
          </w:p>
        </w:tc>
      </w:tr>
      <w:tr w:rsidR="00B72151" w:rsidRPr="00B72151" w:rsidTr="004A47C0">
        <w:trPr>
          <w:trHeight w:val="9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The local authority is able to use DSG to support young people with high needs, early years and other statutory central schools services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230,000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230,000</w:t>
            </w:r>
          </w:p>
        </w:tc>
      </w:tr>
      <w:tr w:rsidR="00B72151" w:rsidRPr="00B72151" w:rsidTr="004A47C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9B47CF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Reduced annual contribution to self</w:t>
            </w:r>
            <w:r w:rsidR="009B47CF">
              <w:rPr>
                <w:rFonts w:ascii="Arial" w:hAnsi="Arial" w:cs="Arial"/>
                <w:sz w:val="24"/>
                <w:szCs w:val="24"/>
              </w:rPr>
              <w:t>-</w:t>
            </w:r>
            <w:r w:rsidRPr="00B72151">
              <w:rPr>
                <w:rFonts w:ascii="Arial" w:hAnsi="Arial" w:cs="Arial"/>
                <w:sz w:val="24"/>
                <w:szCs w:val="24"/>
              </w:rPr>
              <w:t>insurance fund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B72151" w:rsidRPr="00B72151" w:rsidTr="004A47C0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Procurement efficiencies through review of contracts, including some Public Health contracts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209,772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209,772</w:t>
            </w:r>
          </w:p>
        </w:tc>
      </w:tr>
      <w:tr w:rsidR="00B72151" w:rsidRPr="00B72151" w:rsidTr="004A47C0">
        <w:trPr>
          <w:trHeight w:val="3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>
            <w:pPr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Various other efficiencies across the organisation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482,410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156,340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2151">
              <w:rPr>
                <w:rFonts w:ascii="Arial" w:hAnsi="Arial" w:cs="Arial"/>
                <w:sz w:val="24"/>
                <w:szCs w:val="24"/>
              </w:rPr>
              <w:t>638,750</w:t>
            </w:r>
          </w:p>
        </w:tc>
      </w:tr>
      <w:tr w:rsidR="00B72151" w:rsidRPr="00B72151" w:rsidTr="004A47C0">
        <w:trPr>
          <w:trHeight w:val="36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71" w:rsidRDefault="005C3E71" w:rsidP="00B7215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2151" w:rsidRPr="00B72151" w:rsidRDefault="00B72151" w:rsidP="00B721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TOTAL  </w:t>
            </w:r>
            <w:r w:rsidR="005C3E71">
              <w:rPr>
                <w:rFonts w:ascii="Arial" w:hAnsi="Arial" w:cs="Arial"/>
                <w:bCs/>
                <w:sz w:val="24"/>
                <w:szCs w:val="24"/>
              </w:rPr>
              <w:t xml:space="preserve">GROSS </w:t>
            </w:r>
            <w:r w:rsidRPr="00B72151">
              <w:rPr>
                <w:rFonts w:ascii="Arial" w:hAnsi="Arial" w:cs="Arial"/>
                <w:bCs/>
                <w:sz w:val="24"/>
                <w:szCs w:val="24"/>
              </w:rPr>
              <w:t>SAVINGS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7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:rsidR="00B72151" w:rsidRP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5,989,922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71" w:rsidRDefault="005C3E7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72151" w:rsidRP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,258,216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7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</w:p>
          <w:p w:rsidR="005C3E7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>7,248,138</w:t>
            </w:r>
          </w:p>
          <w:p w:rsidR="00B72151" w:rsidRP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72151" w:rsidRPr="00B72151" w:rsidTr="004A47C0">
        <w:trPr>
          <w:trHeight w:val="36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LESS “</w:t>
            </w:r>
            <w:r w:rsidRPr="00B72151">
              <w:rPr>
                <w:rFonts w:ascii="Arial" w:hAnsi="Arial" w:cs="Arial"/>
                <w:bCs/>
                <w:sz w:val="24"/>
                <w:szCs w:val="24"/>
              </w:rPr>
              <w:t>LEAKAGE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”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>(89,849)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>(18,873)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Default="00B7215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Cs/>
                <w:sz w:val="24"/>
                <w:szCs w:val="24"/>
              </w:rPr>
              <w:t>(108,722)</w:t>
            </w:r>
          </w:p>
          <w:p w:rsidR="005C3E71" w:rsidRPr="00B72151" w:rsidRDefault="005C3E71" w:rsidP="00B7215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2151" w:rsidRPr="00B72151" w:rsidTr="004A47C0">
        <w:trPr>
          <w:trHeight w:val="360"/>
        </w:trPr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/>
                <w:bCs/>
                <w:sz w:val="24"/>
                <w:szCs w:val="24"/>
              </w:rPr>
              <w:t>NET SAVINGS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/>
                <w:bCs/>
                <w:sz w:val="24"/>
                <w:szCs w:val="24"/>
              </w:rPr>
              <w:t>5,900,073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/>
                <w:bCs/>
                <w:sz w:val="24"/>
                <w:szCs w:val="24"/>
              </w:rPr>
              <w:t>1,239,343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51" w:rsidRPr="00B72151" w:rsidRDefault="00B72151" w:rsidP="00B7215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2151">
              <w:rPr>
                <w:rFonts w:ascii="Arial" w:hAnsi="Arial" w:cs="Arial"/>
                <w:b/>
                <w:bCs/>
                <w:sz w:val="24"/>
                <w:szCs w:val="24"/>
              </w:rPr>
              <w:t>7,139,416</w:t>
            </w:r>
          </w:p>
        </w:tc>
      </w:tr>
    </w:tbl>
    <w:p w:rsidR="000D3CF4" w:rsidRDefault="000D3CF4" w:rsidP="004A47C0"/>
    <w:sectPr w:rsidR="000D3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51"/>
    <w:rsid w:val="000D3CF4"/>
    <w:rsid w:val="001F2AE3"/>
    <w:rsid w:val="00312A62"/>
    <w:rsid w:val="003623D4"/>
    <w:rsid w:val="004A47C0"/>
    <w:rsid w:val="005C3E71"/>
    <w:rsid w:val="009B47CF"/>
    <w:rsid w:val="00B7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7C0BF-0238-4596-B877-7CE9C8E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Ken</dc:creator>
  <cp:keywords/>
  <dc:description/>
  <cp:lastModifiedBy>Worthington, Stacey</cp:lastModifiedBy>
  <cp:revision>2</cp:revision>
  <dcterms:created xsi:type="dcterms:W3CDTF">2021-01-04T16:44:00Z</dcterms:created>
  <dcterms:modified xsi:type="dcterms:W3CDTF">2021-01-04T16:44:00Z</dcterms:modified>
</cp:coreProperties>
</file>