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51CF" w14:textId="77777777" w:rsidR="0074408C" w:rsidRDefault="0074408C" w:rsidP="0074408C">
      <w:pPr>
        <w:pStyle w:val="CoversheetStaticText"/>
        <w:rPr>
          <w:b/>
        </w:rPr>
      </w:pPr>
    </w:p>
    <w:p w14:paraId="06D185C0" w14:textId="32A636B5" w:rsidR="00000000" w:rsidRDefault="00000000" w:rsidP="000D09DC">
      <w:pPr>
        <w:pStyle w:val="Letterhead"/>
      </w:pPr>
      <w:r>
        <w:t>[ON HEADED NOTEPAPER OF company]</w:t>
      </w:r>
    </w:p>
    <w:p w14:paraId="06D185C1" w14:textId="77777777" w:rsidR="00000000" w:rsidRDefault="00000000" w:rsidP="000D09DC">
      <w:pPr>
        <w:pStyle w:val="AddressLine"/>
      </w:pPr>
      <w:r>
        <w:t>[CONSULTANT'S NAME]</w:t>
      </w:r>
    </w:p>
    <w:p w14:paraId="06D185C2" w14:textId="77777777" w:rsidR="00000000" w:rsidRDefault="00000000" w:rsidP="000D09DC">
      <w:pPr>
        <w:pStyle w:val="AddressLine"/>
      </w:pPr>
      <w:r>
        <w:t>[CONSULTANT'S ADDRESS]</w:t>
      </w:r>
    </w:p>
    <w:p w14:paraId="06D185C3" w14:textId="77777777" w:rsidR="00000000" w:rsidRDefault="00000000" w:rsidP="000D09DC">
      <w:pPr>
        <w:pStyle w:val="Date"/>
      </w:pPr>
      <w:r>
        <w:t>[DATE]</w:t>
      </w:r>
    </w:p>
    <w:p w14:paraId="06D185C4" w14:textId="77777777" w:rsidR="00000000" w:rsidRDefault="00000000" w:rsidP="000D09DC">
      <w:pPr>
        <w:pStyle w:val="SalutationPara"/>
      </w:pPr>
      <w:r>
        <w:t>Dear [CONSULTANT'S NAME]</w:t>
      </w:r>
    </w:p>
    <w:p w14:paraId="06D185C5" w14:textId="77777777" w:rsidR="00000000" w:rsidRDefault="00000000" w:rsidP="000D09DC">
      <w:pPr>
        <w:pStyle w:val="LetterTitle"/>
      </w:pPr>
      <w:r>
        <w:t>Consultancy agreement</w:t>
      </w:r>
    </w:p>
    <w:p w14:paraId="06D185C6" w14:textId="77777777" w:rsidR="00000000" w:rsidRDefault="00000000" w:rsidP="000D09DC">
      <w:pPr>
        <w:pStyle w:val="Paragraph"/>
      </w:pPr>
      <w:r>
        <w:t>I am writing to confirm the terms of our agreement concerning the provision of your consultancy services to [NAME OF COMPANY] (</w:t>
      </w:r>
      <w:r>
        <w:rPr>
          <w:rStyle w:val="DefTerm"/>
        </w:rPr>
        <w:t>Client</w:t>
      </w:r>
      <w:r>
        <w:t xml:space="preserve">). In this letter, I refer to the Client as 'us', 'our' and 'we'. </w:t>
      </w:r>
    </w:p>
    <w:p w14:paraId="06D185C7" w14:textId="77777777" w:rsidR="00000000" w:rsidRDefault="00000000" w:rsidP="000D09DC">
      <w:pPr>
        <w:pStyle w:val="DescriptiveHeading"/>
      </w:pPr>
    </w:p>
    <w:p w14:paraId="06D185C8" w14:textId="77777777" w:rsidR="00000000" w:rsidRDefault="00000000" w:rsidP="000D09DC">
      <w:pPr>
        <w:pStyle w:val="TitleClause"/>
      </w:pPr>
      <w:bookmarkStart w:id="0" w:name="a178779"/>
      <w:r>
        <w:t>Term</w:t>
      </w:r>
      <w:bookmarkEnd w:id="0"/>
    </w:p>
    <w:p w14:paraId="06D185C9" w14:textId="77777777" w:rsidR="00000000" w:rsidRDefault="00000000" w:rsidP="000D09DC">
      <w:pPr>
        <w:pStyle w:val="NoNumUntitledsubclause1"/>
      </w:pPr>
      <w:bookmarkStart w:id="1" w:name="a95920"/>
      <w:r>
        <w:t>You shall provide your services to us from [DATE] unless and until this agreement is terminated by either party giving to the other not less than [NUMBER] weeks' prior written notice or as otherwise provided in this letter.</w:t>
      </w:r>
      <w:bookmarkEnd w:id="1"/>
    </w:p>
    <w:p w14:paraId="06D185CA" w14:textId="77777777" w:rsidR="00000000" w:rsidRDefault="00000000" w:rsidP="000D09DC">
      <w:pPr>
        <w:pStyle w:val="TitleClause"/>
      </w:pPr>
      <w:bookmarkStart w:id="2" w:name="a875656"/>
      <w:r>
        <w:t>Duties</w:t>
      </w:r>
      <w:bookmarkEnd w:id="2"/>
    </w:p>
    <w:p w14:paraId="06D185CB" w14:textId="77777777" w:rsidR="00000000" w:rsidRDefault="00000000" w:rsidP="000D09DC">
      <w:pPr>
        <w:pStyle w:val="Untitledsubclause1"/>
      </w:pPr>
      <w:bookmarkStart w:id="3" w:name="a270866"/>
      <w:r>
        <w:t xml:space="preserve">You shall use your best endeavours to promote our interests [and those of any other company in our group] and, unless prevented by ill health or accident, devote at least [NUMBER] [hours </w:t>
      </w:r>
      <w:r>
        <w:rPr>
          <w:b/>
        </w:rPr>
        <w:t>OR</w:t>
      </w:r>
      <w:r>
        <w:t xml:space="preserve"> days] in each calendar month to carrying out the following services for us:</w:t>
      </w:r>
      <w:bookmarkEnd w:id="3"/>
    </w:p>
    <w:p w14:paraId="06D185CC" w14:textId="77777777" w:rsidR="00000000" w:rsidRDefault="00000000" w:rsidP="000D09DC">
      <w:pPr>
        <w:pStyle w:val="Untitledsubclause2"/>
      </w:pPr>
      <w:bookmarkStart w:id="4" w:name="a85238"/>
      <w:r>
        <w:t>[DETAILS OF SERVICES] (</w:t>
      </w:r>
      <w:r>
        <w:rPr>
          <w:rStyle w:val="DefTerm"/>
        </w:rPr>
        <w:t>Services</w:t>
      </w:r>
      <w:r>
        <w:t>).</w:t>
      </w:r>
      <w:bookmarkEnd w:id="4"/>
    </w:p>
    <w:p w14:paraId="06D185CD" w14:textId="77777777" w:rsidR="00000000" w:rsidRDefault="00000000" w:rsidP="000D09DC">
      <w:pPr>
        <w:pStyle w:val="Untitledsubclause1"/>
      </w:pPr>
      <w:bookmarkStart w:id="5" w:name="a907700"/>
      <w:r>
        <w:t>If you are unable to provide the Services due to illness or injury, you shall notify [POSITION] as soon as reasonably practicable.</w:t>
      </w:r>
      <w:bookmarkEnd w:id="5"/>
    </w:p>
    <w:p w14:paraId="06D185CE" w14:textId="77777777" w:rsidR="00000000" w:rsidRDefault="00000000" w:rsidP="000D09DC">
      <w:pPr>
        <w:pStyle w:val="Untitledsubclause1"/>
      </w:pPr>
      <w:bookmarkStart w:id="6" w:name="a519472"/>
      <w:r>
        <w:t>You must comply with our policies on [social media] [anti-harassment and bullying] [information and communication systems] [no smoking] [substance misuse] [equal opportunities] [OTHER RELEVANT POLICY].</w:t>
      </w:r>
      <w:bookmarkEnd w:id="6"/>
    </w:p>
    <w:p w14:paraId="06D185CF" w14:textId="77777777" w:rsidR="00000000" w:rsidRDefault="00000000" w:rsidP="000D09DC">
      <w:pPr>
        <w:pStyle w:val="Untitledsubclause1"/>
      </w:pPr>
      <w:bookmarkStart w:id="7" w:name="a174734"/>
      <w:r>
        <w:t xml:space="preserve">[With our prior written approval,] [You </w:t>
      </w:r>
      <w:r>
        <w:rPr>
          <w:b/>
        </w:rPr>
        <w:t>OR</w:t>
      </w:r>
      <w:r>
        <w:t xml:space="preserve"> you] may appoint a suitably qualified substitute to perform the Services on your behalf, provided that the substitute shall be required to </w:t>
      </w:r>
      <w:proofErr w:type="gramStart"/>
      <w:r>
        <w:t>enter into</w:t>
      </w:r>
      <w:proofErr w:type="gramEnd"/>
      <w:r>
        <w:t xml:space="preserve"> direct undertakings with us, including </w:t>
      </w:r>
      <w:proofErr w:type="gramStart"/>
      <w:r>
        <w:t>with regard to</w:t>
      </w:r>
      <w:proofErr w:type="gramEnd"/>
      <w:r>
        <w:t xml:space="preserve"> confidentiality. We will continue to pay you your fee as provided in </w:t>
      </w:r>
      <w:r>
        <w:fldChar w:fldCharType="begin"/>
      </w:r>
      <w:r>
        <w:instrText>PAGEREF a727889\# "'clause '"  \h</w:instrText>
      </w:r>
      <w:r>
        <w:fldChar w:fldCharType="separate"/>
      </w:r>
      <w:r>
        <w:t xml:space="preserve">clause </w:t>
      </w:r>
      <w:r>
        <w:fldChar w:fldCharType="end"/>
      </w:r>
      <w:r>
        <w:fldChar w:fldCharType="begin"/>
      </w:r>
      <w:r>
        <w:rPr>
          <w:highlight w:val="lightGray"/>
        </w:rPr>
        <w:instrText>REF a727889 \h \w</w:instrText>
      </w:r>
      <w:r>
        <w:fldChar w:fldCharType="separate"/>
      </w:r>
      <w:r>
        <w:t>3.1</w:t>
      </w:r>
      <w:r>
        <w:fldChar w:fldCharType="end"/>
      </w:r>
      <w:r>
        <w:t xml:space="preserve"> below and you shall be responsible for the remuneration of, and any expenses incurred by, the substitute. You will not be paid for any period during which neither you nor any substitute provide the Services. You will continue to be subject to all duties and obligations under this agreement for the duration of the appointment of the substitute.</w:t>
      </w:r>
      <w:bookmarkEnd w:id="7"/>
    </w:p>
    <w:p w14:paraId="06D185D0" w14:textId="77777777" w:rsidR="00000000" w:rsidRDefault="00000000" w:rsidP="000D09DC">
      <w:pPr>
        <w:pStyle w:val="Untitledsubclause1"/>
      </w:pPr>
      <w:bookmarkStart w:id="8" w:name="a939521"/>
      <w:r>
        <w:t xml:space="preserve">If a substitute is appointed, the provisions relating to sub-processor obligations under </w:t>
      </w:r>
      <w:r>
        <w:fldChar w:fldCharType="begin"/>
      </w:r>
      <w:r>
        <w:instrText>PAGEREF a998725\# "'clause '"  \h</w:instrText>
      </w:r>
      <w:r>
        <w:fldChar w:fldCharType="separate"/>
      </w:r>
      <w:r>
        <w:t xml:space="preserve">clause </w:t>
      </w:r>
      <w:r>
        <w:fldChar w:fldCharType="end"/>
      </w:r>
      <w:r>
        <w:fldChar w:fldCharType="begin"/>
      </w:r>
      <w:r>
        <w:rPr>
          <w:highlight w:val="lightGray"/>
        </w:rPr>
        <w:instrText>REF a998725 \h \w</w:instrText>
      </w:r>
      <w:r>
        <w:fldChar w:fldCharType="separate"/>
      </w:r>
      <w:r>
        <w:t>6</w:t>
      </w:r>
      <w:r>
        <w:fldChar w:fldCharType="end"/>
      </w:r>
      <w:r>
        <w:t xml:space="preserve"> will apply.</w:t>
      </w:r>
      <w:bookmarkEnd w:id="8"/>
    </w:p>
    <w:p w14:paraId="06D185D1" w14:textId="77777777" w:rsidR="00000000" w:rsidRDefault="00000000" w:rsidP="000D09DC">
      <w:pPr>
        <w:pStyle w:val="Untitledsubclause1"/>
      </w:pPr>
      <w:bookmarkStart w:id="9" w:name="a373634"/>
      <w:r>
        <w:lastRenderedPageBreak/>
        <w:t xml:space="preserve">You shall ensure that you </w:t>
      </w:r>
      <w:proofErr w:type="gramStart"/>
      <w:r>
        <w:t>are available at all times</w:t>
      </w:r>
      <w:proofErr w:type="gramEnd"/>
      <w:r>
        <w:t xml:space="preserve"> on reasonable notice to provide such assistance or information as we may require.</w:t>
      </w:r>
      <w:bookmarkEnd w:id="9"/>
    </w:p>
    <w:p w14:paraId="06D185D2" w14:textId="77777777" w:rsidR="00000000" w:rsidRDefault="00000000" w:rsidP="000D09DC">
      <w:pPr>
        <w:pStyle w:val="Untitledsubclause1"/>
      </w:pPr>
      <w:bookmarkStart w:id="10" w:name="a1042512"/>
      <w:r>
        <w:t>You have no authority (and shall not hold yourself out as having authority) to bind us, unless we have specifically permitted this in writing [in advance].</w:t>
      </w:r>
      <w:bookmarkEnd w:id="10"/>
    </w:p>
    <w:p w14:paraId="06D185D3" w14:textId="77777777" w:rsidR="00000000" w:rsidRDefault="00000000" w:rsidP="000D09DC">
      <w:pPr>
        <w:pStyle w:val="Untitledsubclause1"/>
      </w:pPr>
      <w:bookmarkStart w:id="11" w:name="a332794"/>
      <w:r>
        <w:t xml:space="preserve">You must comply with [our [ethics and] anti-bribery and anti-corruption policies and procedures </w:t>
      </w:r>
      <w:r>
        <w:rPr>
          <w:b/>
        </w:rPr>
        <w:t>AND/OR</w:t>
      </w:r>
      <w:r>
        <w:t xml:space="preserve"> the Bribery Act 2010]. </w:t>
      </w:r>
      <w:bookmarkEnd w:id="11"/>
    </w:p>
    <w:p w14:paraId="06D185D4" w14:textId="77777777" w:rsidR="00000000" w:rsidRDefault="00000000" w:rsidP="000D09DC">
      <w:pPr>
        <w:pStyle w:val="Untitledsubclause1"/>
      </w:pPr>
      <w:bookmarkStart w:id="12" w:name="a998772"/>
      <w:r>
        <w:t xml:space="preserve">You must not engage in any activity, practice or conduct which would constitute either a UK tax evasion facilitation offence or a foreign tax evasion facilitation offence under the </w:t>
      </w:r>
      <w:r>
        <w:rPr>
          <w:iCs/>
          <w:noProof/>
        </w:rPr>
        <w:t>Criminal Finances Act 2017</w:t>
      </w:r>
      <w:r>
        <w:t xml:space="preserve">. [You must comply with our [anti-facilitation of tax evasion policy </w:t>
      </w:r>
      <w:r>
        <w:rPr>
          <w:b/>
          <w:bCs/>
        </w:rPr>
        <w:t>OR</w:t>
      </w:r>
      <w:r>
        <w:t xml:space="preserve"> anti-bribery and anti-corruption policies].]</w:t>
      </w:r>
      <w:bookmarkEnd w:id="12"/>
    </w:p>
    <w:p w14:paraId="06D185D5" w14:textId="77777777" w:rsidR="00000000" w:rsidRDefault="00000000" w:rsidP="000D09DC">
      <w:pPr>
        <w:pStyle w:val="Untitledsubclause1"/>
      </w:pPr>
      <w:bookmarkStart w:id="13" w:name="a506356"/>
      <w:r>
        <w:t xml:space="preserve">You must not engage in any activity, practice or conduct which would constitute fraud, including but not limited to a fraud offence under section 199(6) of the Economic Crime and Corporate Transparency Act 2023. [You must comply with our [ethics, anti-bribery and anti-corruption policies </w:t>
      </w:r>
      <w:r>
        <w:rPr>
          <w:b/>
          <w:bCs/>
        </w:rPr>
        <w:t xml:space="preserve">OR </w:t>
      </w:r>
      <w:r>
        <w:t>anti-fraud policy].]</w:t>
      </w:r>
      <w:bookmarkEnd w:id="13"/>
    </w:p>
    <w:p w14:paraId="06D185D6" w14:textId="77777777" w:rsidR="00000000" w:rsidRDefault="00000000" w:rsidP="000D09DC">
      <w:pPr>
        <w:pStyle w:val="TitleClause"/>
      </w:pPr>
      <w:bookmarkStart w:id="14" w:name="a1035876"/>
      <w:r>
        <w:t>Fees and expenses</w:t>
      </w:r>
      <w:bookmarkEnd w:id="14"/>
    </w:p>
    <w:p w14:paraId="06D185D7" w14:textId="77777777" w:rsidR="00000000" w:rsidRDefault="00000000" w:rsidP="000D09DC">
      <w:pPr>
        <w:pStyle w:val="Untitledsubclause1"/>
      </w:pPr>
      <w:bookmarkStart w:id="15" w:name="a727889"/>
      <w:r>
        <w:t xml:space="preserve">We will pay you a fee of £[AMOUNT] per [hour </w:t>
      </w:r>
      <w:r>
        <w:rPr>
          <w:b/>
        </w:rPr>
        <w:t>OR</w:t>
      </w:r>
      <w:r>
        <w:t xml:space="preserve"> day] [exclusive </w:t>
      </w:r>
      <w:r>
        <w:rPr>
          <w:b/>
        </w:rPr>
        <w:t>OR</w:t>
      </w:r>
      <w:r>
        <w:t xml:space="preserve"> inclusive] of VAT. You shall submit invoices to us </w:t>
      </w:r>
      <w:proofErr w:type="gramStart"/>
      <w:r>
        <w:t>on a monthly basis</w:t>
      </w:r>
      <w:proofErr w:type="gramEnd"/>
      <w:r>
        <w:t xml:space="preserve"> setting out the hours that you have worked for us during the preceding month and any VAT payable (if applicable). We will pay such invoices [within [NUMBER] weeks of receipt </w:t>
      </w:r>
      <w:r>
        <w:rPr>
          <w:b/>
        </w:rPr>
        <w:t>OR</w:t>
      </w:r>
      <w:r>
        <w:t xml:space="preserve"> in accordance with our usual payment terms].</w:t>
      </w:r>
      <w:bookmarkEnd w:id="15"/>
    </w:p>
    <w:p w14:paraId="06D185D8" w14:textId="77777777" w:rsidR="00000000" w:rsidRDefault="00000000" w:rsidP="000D09DC">
      <w:pPr>
        <w:pStyle w:val="Untitledsubclause1"/>
      </w:pPr>
      <w:bookmarkStart w:id="16" w:name="a901119"/>
      <w:r>
        <w:t xml:space="preserve">[We shall reimburse [your reasonable expenses incurred in providing the Services </w:t>
      </w:r>
      <w:r>
        <w:rPr>
          <w:b/>
        </w:rPr>
        <w:t>OR</w:t>
      </w:r>
      <w:r>
        <w:t xml:space="preserve"> those expenses agreed with us in advance as necessary for the proper performance of the Services] within [NUMBER] weeks of receipt of your invoice and all relevant receipts, or other evidence as we may reasonably require, to support the expense in each case </w:t>
      </w:r>
      <w:r>
        <w:rPr>
          <w:b/>
        </w:rPr>
        <w:t>OR</w:t>
      </w:r>
      <w:r>
        <w:t xml:space="preserve"> You shall bear your own expenses].</w:t>
      </w:r>
      <w:bookmarkEnd w:id="16"/>
    </w:p>
    <w:p w14:paraId="06D185D9" w14:textId="77777777" w:rsidR="00000000" w:rsidRDefault="00000000" w:rsidP="000D09DC">
      <w:pPr>
        <w:pStyle w:val="Untitledsubclause1"/>
      </w:pPr>
      <w:bookmarkStart w:id="17" w:name="a362187"/>
      <w:r>
        <w:t>We are entitled to deduct from the fees (and any other sums) payable to you any sums that you may owe us [or any other company in our group] at any time.</w:t>
      </w:r>
      <w:bookmarkEnd w:id="17"/>
    </w:p>
    <w:p w14:paraId="06D185DA" w14:textId="77777777" w:rsidR="00000000" w:rsidRDefault="00000000" w:rsidP="000D09DC">
      <w:pPr>
        <w:pStyle w:val="TitleClause"/>
      </w:pPr>
      <w:bookmarkStart w:id="18" w:name="a792031"/>
      <w:r>
        <w:t>Other activities</w:t>
      </w:r>
      <w:bookmarkEnd w:id="18"/>
    </w:p>
    <w:p w14:paraId="06D185DB" w14:textId="77777777" w:rsidR="00000000" w:rsidRPr="00AE54A9" w:rsidRDefault="00000000" w:rsidP="000D09DC">
      <w:pPr>
        <w:pStyle w:val="NoNumUntitledsubclause1"/>
      </w:pPr>
      <w:bookmarkStart w:id="19" w:name="a909023"/>
      <w:r>
        <w:t xml:space="preserve">You may be engaged, employed or concerned in any other business, trade, profession or other activity which does not place you in a conflict of interest with us. However, you may not be involved in any capacity with a business which does or could compete with our business without the prior written consent of [POSITION] [(such consent not to be unreasonably withheld)]. </w:t>
      </w:r>
      <w:bookmarkEnd w:id="19"/>
    </w:p>
    <w:p w14:paraId="06D185DC" w14:textId="77777777" w:rsidR="00000000" w:rsidRDefault="00000000" w:rsidP="000D09DC">
      <w:pPr>
        <w:pStyle w:val="TitleClause"/>
      </w:pPr>
      <w:bookmarkStart w:id="20" w:name="a614506"/>
      <w:r>
        <w:t xml:space="preserve">[Confidential information </w:t>
      </w:r>
      <w:bookmarkEnd w:id="20"/>
    </w:p>
    <w:p w14:paraId="06D185DD" w14:textId="77777777" w:rsidR="00000000" w:rsidRDefault="00000000" w:rsidP="000D09DC">
      <w:pPr>
        <w:pStyle w:val="Untitledsubclause1"/>
      </w:pPr>
      <w:bookmarkStart w:id="21" w:name="a596589"/>
      <w:r>
        <w:t xml:space="preserve">In this </w:t>
      </w:r>
      <w:r>
        <w:fldChar w:fldCharType="begin"/>
      </w:r>
      <w:r>
        <w:instrText>PAGEREF a614506\# "'clause '"  \h</w:instrText>
      </w:r>
      <w:r>
        <w:fldChar w:fldCharType="separate"/>
      </w:r>
      <w:r>
        <w:t xml:space="preserve">clause </w:t>
      </w:r>
      <w:r>
        <w:fldChar w:fldCharType="end"/>
      </w:r>
      <w:r>
        <w:fldChar w:fldCharType="begin"/>
      </w:r>
      <w:r>
        <w:rPr>
          <w:highlight w:val="lightGray"/>
        </w:rPr>
        <w:instrText>REF a614506 \h \w</w:instrText>
      </w:r>
      <w:r>
        <w:fldChar w:fldCharType="separate"/>
      </w:r>
      <w:r>
        <w:t>5</w:t>
      </w:r>
      <w:r>
        <w:fldChar w:fldCharType="end"/>
      </w:r>
      <w:r>
        <w:t xml:space="preserve">, </w:t>
      </w:r>
      <w:r>
        <w:rPr>
          <w:b/>
          <w:bCs/>
        </w:rPr>
        <w:t>confidential information</w:t>
      </w:r>
      <w:r>
        <w:t xml:space="preserve"> shall mean information in whatever form (including in written, oral, visual or electronic form or on any magnetic or optical disk or memory) and wherever located relating to our business, clients, customers, suppliers, products, assets, affairs and finances that is confidential to us and trade secrets relating to our business or any of our suppliers, clients, customers, agents, distributors, shareholders, management or business contacts, including technical data and know-how [ADD SPECIFIC EXAMPLES AS NECESSARY], that you create, </w:t>
      </w:r>
      <w:r>
        <w:lastRenderedPageBreak/>
        <w:t>develop, receive or obtain in connection with the engagement, whether or not such information is marked confidential.</w:t>
      </w:r>
      <w:bookmarkEnd w:id="21"/>
    </w:p>
    <w:p w14:paraId="06D185DE" w14:textId="77777777" w:rsidR="00000000" w:rsidRDefault="00000000" w:rsidP="000D09DC">
      <w:pPr>
        <w:pStyle w:val="Untitledsubclause1"/>
      </w:pPr>
      <w:bookmarkStart w:id="22" w:name="a333652"/>
      <w:r>
        <w:t>You shall not [and you shall procure that any substitute shall not] (except in the proper course of providing the Services, as authorised or required by law, or as authorised by us), either during or at any time after your engagement, use any confidential information, make or use any copies of any confidential information or disclose any confidential information.</w:t>
      </w:r>
      <w:bookmarkEnd w:id="22"/>
    </w:p>
    <w:p w14:paraId="06D185DF" w14:textId="77777777" w:rsidR="00000000" w:rsidRDefault="00000000" w:rsidP="000D09DC">
      <w:pPr>
        <w:pStyle w:val="Untitledsubclause1"/>
      </w:pPr>
      <w:bookmarkStart w:id="23" w:name="a369800"/>
      <w:r>
        <w:t xml:space="preserve">The restriction in </w:t>
      </w:r>
      <w:r>
        <w:fldChar w:fldCharType="begin"/>
      </w:r>
      <w:r>
        <w:instrText>PAGEREF a333652\# "'clause '"  \h</w:instrText>
      </w:r>
      <w:r>
        <w:fldChar w:fldCharType="separate"/>
      </w:r>
      <w:r>
        <w:t xml:space="preserve">clause </w:t>
      </w:r>
      <w:r>
        <w:fldChar w:fldCharType="end"/>
      </w:r>
      <w:r>
        <w:fldChar w:fldCharType="begin"/>
      </w:r>
      <w:r>
        <w:rPr>
          <w:highlight w:val="lightGray"/>
        </w:rPr>
        <w:instrText>REF a333652 \h \w</w:instrText>
      </w:r>
      <w:r>
        <w:fldChar w:fldCharType="separate"/>
      </w:r>
      <w:r>
        <w:t>5.2</w:t>
      </w:r>
      <w:r>
        <w:fldChar w:fldCharType="end"/>
      </w:r>
      <w:r>
        <w:t xml:space="preserve"> does not apply to any confidential information which is or comes into the public domain other than though your unauthorised disclosure.</w:t>
      </w:r>
      <w:bookmarkEnd w:id="23"/>
    </w:p>
    <w:p w14:paraId="06D185E0" w14:textId="77777777" w:rsidR="00000000" w:rsidRPr="0001708F" w:rsidRDefault="00000000" w:rsidP="000D09DC">
      <w:pPr>
        <w:pStyle w:val="Untitledsubclause1"/>
      </w:pPr>
      <w:bookmarkStart w:id="24" w:name="a536210"/>
      <w:r>
        <w:rPr>
          <w:bCs/>
        </w:rPr>
        <w:t xml:space="preserve">Nothing in this </w:t>
      </w:r>
      <w:r>
        <w:fldChar w:fldCharType="begin"/>
      </w:r>
      <w:r>
        <w:instrText>PAGEREF a614506\# "'clause '"  \h</w:instrText>
      </w:r>
      <w:r>
        <w:fldChar w:fldCharType="separate"/>
      </w:r>
      <w:r>
        <w:t xml:space="preserve">clause </w:t>
      </w:r>
      <w:r>
        <w:fldChar w:fldCharType="end"/>
      </w:r>
      <w:r>
        <w:fldChar w:fldCharType="begin"/>
      </w:r>
      <w:r>
        <w:rPr>
          <w:highlight w:val="lightGray"/>
        </w:rPr>
        <w:instrText>REF a614506 \h \w</w:instrText>
      </w:r>
      <w:r>
        <w:fldChar w:fldCharType="separate"/>
      </w:r>
      <w:r>
        <w:t>5</w:t>
      </w:r>
      <w:r>
        <w:fldChar w:fldCharType="end"/>
      </w:r>
      <w:r>
        <w:rPr>
          <w:bCs/>
        </w:rPr>
        <w:t xml:space="preserve"> shall prevent you from:</w:t>
      </w:r>
      <w:bookmarkEnd w:id="24"/>
    </w:p>
    <w:p w14:paraId="06D185E1" w14:textId="77777777" w:rsidR="00000000" w:rsidRDefault="00000000" w:rsidP="000D09DC">
      <w:pPr>
        <w:pStyle w:val="Untitledsubclause2"/>
      </w:pPr>
      <w:bookmarkStart w:id="25" w:name="a378469"/>
      <w:r>
        <w:t xml:space="preserve">reporting a suspected criminal offence to the police or any law enforcement agency or co-operating with the police or any law enforcement agency regarding a criminal investigation or </w:t>
      </w:r>
      <w:proofErr w:type="gramStart"/>
      <w:r>
        <w:t>prosecution;</w:t>
      </w:r>
      <w:proofErr w:type="gramEnd"/>
      <w:r>
        <w:t xml:space="preserve"> </w:t>
      </w:r>
      <w:bookmarkEnd w:id="25"/>
    </w:p>
    <w:p w14:paraId="06D185E2" w14:textId="77777777" w:rsidR="00000000" w:rsidRDefault="00000000" w:rsidP="000D09DC">
      <w:pPr>
        <w:pStyle w:val="Untitledsubclause2"/>
      </w:pPr>
      <w:bookmarkStart w:id="26" w:name="a381612"/>
      <w:r>
        <w:t xml:space="preserve">doing or saying anything that is required by HMRC or a regulator, ombudsman or supervisory </w:t>
      </w:r>
      <w:proofErr w:type="gramStart"/>
      <w:r>
        <w:t>authority;</w:t>
      </w:r>
      <w:proofErr w:type="gramEnd"/>
      <w:r>
        <w:t xml:space="preserve"> </w:t>
      </w:r>
      <w:bookmarkEnd w:id="26"/>
    </w:p>
    <w:p w14:paraId="06D185E3" w14:textId="77777777" w:rsidR="00000000" w:rsidRDefault="00000000" w:rsidP="000D09DC">
      <w:pPr>
        <w:pStyle w:val="Untitledsubclause2"/>
      </w:pPr>
      <w:bookmarkStart w:id="27" w:name="a472193"/>
      <w:r>
        <w:t>whether required by law or not, making a disclosure to, or co-operating with any investigation by, HMRC or a regulator, ombudsman or supervisory authority regarding any misconduct, wrongdoing or serious breach of regulatory requirements (including giving evidence at a hearing</w:t>
      </w:r>
      <w:proofErr w:type="gramStart"/>
      <w:r>
        <w:t>);</w:t>
      </w:r>
      <w:proofErr w:type="gramEnd"/>
      <w:r>
        <w:t xml:space="preserve"> </w:t>
      </w:r>
      <w:bookmarkEnd w:id="27"/>
    </w:p>
    <w:p w14:paraId="06D185E4" w14:textId="77777777" w:rsidR="00000000" w:rsidRDefault="00000000" w:rsidP="000D09DC">
      <w:pPr>
        <w:pStyle w:val="Untitledsubclause2"/>
      </w:pPr>
      <w:bookmarkStart w:id="28" w:name="a153280"/>
      <w:r>
        <w:t xml:space="preserve">complying with an order from a court or tribunal to disclose or give </w:t>
      </w:r>
      <w:proofErr w:type="gramStart"/>
      <w:r>
        <w:t>evidence;</w:t>
      </w:r>
      <w:proofErr w:type="gramEnd"/>
      <w:r>
        <w:t xml:space="preserve"> </w:t>
      </w:r>
      <w:bookmarkEnd w:id="28"/>
    </w:p>
    <w:p w14:paraId="06D185E5" w14:textId="77777777" w:rsidR="00000000" w:rsidRDefault="00000000" w:rsidP="000D09DC">
      <w:pPr>
        <w:pStyle w:val="Untitledsubclause2"/>
      </w:pPr>
      <w:bookmarkStart w:id="29" w:name="a846325"/>
      <w:r>
        <w:t xml:space="preserve">disclosing information to HMRC for the purposes of establishing and paying (or recouping) tax liabilities arising from your </w:t>
      </w:r>
      <w:proofErr w:type="gramStart"/>
      <w:r>
        <w:t>engagement;</w:t>
      </w:r>
      <w:bookmarkEnd w:id="29"/>
      <w:proofErr w:type="gramEnd"/>
    </w:p>
    <w:p w14:paraId="06D185E6" w14:textId="77777777" w:rsidR="00000000" w:rsidRPr="005A4790" w:rsidRDefault="00000000" w:rsidP="000D09DC">
      <w:pPr>
        <w:pStyle w:val="Untitledsubclause2"/>
      </w:pPr>
      <w:bookmarkStart w:id="30" w:name="a406481"/>
      <w:r>
        <w:t>disclosing information to any person who owes you a duty of confidentiality (which you agree not to waive) in respect of information disclosed to them, including legal or tax advisers and persons providing you with medical, therapeutic, counselling or support services; or</w:t>
      </w:r>
      <w:bookmarkEnd w:id="30"/>
    </w:p>
    <w:p w14:paraId="06D185E7" w14:textId="77777777" w:rsidR="00000000" w:rsidRDefault="00000000" w:rsidP="000D09DC">
      <w:pPr>
        <w:pStyle w:val="Untitledsubclause2"/>
      </w:pPr>
      <w:bookmarkStart w:id="31" w:name="a170840"/>
      <w:r>
        <w:t>making any other disclosure as required by law.]</w:t>
      </w:r>
      <w:bookmarkEnd w:id="31"/>
    </w:p>
    <w:p w14:paraId="06D185E8" w14:textId="77777777" w:rsidR="00000000" w:rsidRDefault="00000000" w:rsidP="000D09DC">
      <w:pPr>
        <w:pStyle w:val="TitleClause"/>
      </w:pPr>
      <w:bookmarkStart w:id="32" w:name="a998725"/>
      <w:r>
        <w:t>Data protection</w:t>
      </w:r>
      <w:bookmarkEnd w:id="32"/>
    </w:p>
    <w:p w14:paraId="06D185E9" w14:textId="77777777" w:rsidR="00000000" w:rsidRDefault="00000000" w:rsidP="000D09DC">
      <w:pPr>
        <w:pStyle w:val="Untitledsubclause1"/>
      </w:pPr>
      <w:bookmarkStart w:id="33" w:name="a135114"/>
      <w:r>
        <w:t>We will collect and process information relating to you in accordance with the privacy notice which is [on the intranet </w:t>
      </w:r>
      <w:r>
        <w:rPr>
          <w:b/>
          <w:bCs/>
        </w:rPr>
        <w:t>OR</w:t>
      </w:r>
      <w:r>
        <w:t> annexed to this agreement].</w:t>
      </w:r>
      <w:bookmarkEnd w:id="33"/>
    </w:p>
    <w:p w14:paraId="06D185EA" w14:textId="77777777" w:rsidR="00000000" w:rsidRPr="00995449" w:rsidRDefault="00000000" w:rsidP="000D09DC">
      <w:pPr>
        <w:pStyle w:val="Untitledsubclause1"/>
      </w:pPr>
      <w:bookmarkStart w:id="34" w:name="a676927"/>
      <w:r>
        <w:t>For the purposes of this clause, Data Protection Legislation includes all applicable data protection and privacy legislation in force from time to time in the UK including the retained EU law version of the General Data Protection Regulation ((EU) 2016/679) (UK GDPR), the Data Protection Act 2018 (and regulations made thereunder)</w:t>
      </w:r>
      <w:r>
        <w:rPr>
          <w:i/>
          <w:iCs/>
        </w:rPr>
        <w:t xml:space="preserve"> </w:t>
      </w:r>
      <w:r>
        <w:t xml:space="preserve">or any successor legislation, and all other legislation and regulatory requirements in force from time to time which apply to a party relating to the use of personal data (including, without limitation, the privacy of electronic communications). </w:t>
      </w:r>
      <w:bookmarkEnd w:id="34"/>
    </w:p>
    <w:p w14:paraId="06D185EB" w14:textId="77777777" w:rsidR="00000000" w:rsidRPr="004D6ABF" w:rsidRDefault="00000000" w:rsidP="000D09DC">
      <w:pPr>
        <w:pStyle w:val="Untitledsubclause1"/>
      </w:pPr>
      <w:bookmarkStart w:id="35" w:name="a186429"/>
      <w:r>
        <w:t xml:space="preserve">[You and we acknowledge that for the purposes of the Data Protection Legislation, we are the </w:t>
      </w:r>
      <w:proofErr w:type="gramStart"/>
      <w:r>
        <w:t>controller</w:t>
      </w:r>
      <w:proofErr w:type="gramEnd"/>
      <w:r>
        <w:t xml:space="preserve"> and you are the processor.</w:t>
      </w:r>
      <w:r>
        <w:fldChar w:fldCharType="begin"/>
      </w:r>
      <w:r>
        <w:fldChar w:fldCharType="end"/>
      </w:r>
      <w:r>
        <w:t>]</w:t>
      </w:r>
      <w:bookmarkEnd w:id="35"/>
    </w:p>
    <w:p w14:paraId="06D185EC" w14:textId="77777777" w:rsidR="00000000" w:rsidRPr="004D6ABF" w:rsidRDefault="00000000" w:rsidP="000D09DC">
      <w:pPr>
        <w:pStyle w:val="Untitledsubclause1"/>
      </w:pPr>
      <w:bookmarkStart w:id="36" w:name="a441191"/>
      <w:r>
        <w:lastRenderedPageBreak/>
        <w:t>[The schedule to this agreement sets out the scope, nature and purpose of the processing by you, the duration of the processing and the types of personal data (as defined in the Data Protection Legislation (Personal Data)) and categories of data subject.</w:t>
      </w:r>
      <w:r>
        <w:fldChar w:fldCharType="begin"/>
      </w:r>
      <w:r>
        <w:fldChar w:fldCharType="end"/>
      </w:r>
      <w:r>
        <w:t>]</w:t>
      </w:r>
      <w:bookmarkEnd w:id="36"/>
    </w:p>
    <w:p w14:paraId="06D185ED" w14:textId="77777777" w:rsidR="00000000" w:rsidRPr="004D6ABF" w:rsidRDefault="00000000" w:rsidP="000D09DC">
      <w:pPr>
        <w:pStyle w:val="Untitledsubclause1"/>
      </w:pPr>
      <w:bookmarkStart w:id="37" w:name="a582024"/>
      <w:r>
        <w:t>[You shall, in relation to any Personal Data processed:</w:t>
      </w:r>
      <w:r>
        <w:fldChar w:fldCharType="begin"/>
      </w:r>
      <w:r>
        <w:instrText xml:space="preserve"> MACROBUTTON optional </w:instrText>
      </w:r>
      <w:r>
        <w:fldChar w:fldCharType="end"/>
      </w:r>
      <w:bookmarkEnd w:id="37"/>
    </w:p>
    <w:p w14:paraId="06D185EE" w14:textId="77777777" w:rsidR="00000000" w:rsidRPr="004D6ABF" w:rsidRDefault="00000000" w:rsidP="000D09DC">
      <w:pPr>
        <w:pStyle w:val="Untitledsubclause2"/>
      </w:pPr>
      <w:bookmarkStart w:id="38" w:name="a923977"/>
      <w:r>
        <w:t xml:space="preserve">process that Personal Data only on our written </w:t>
      </w:r>
      <w:proofErr w:type="gramStart"/>
      <w:r>
        <w:t>instructions;</w:t>
      </w:r>
      <w:bookmarkEnd w:id="38"/>
      <w:proofErr w:type="gramEnd"/>
    </w:p>
    <w:p w14:paraId="06D185EF" w14:textId="77777777" w:rsidR="00000000" w:rsidRPr="004D6ABF" w:rsidRDefault="00000000" w:rsidP="000D09DC">
      <w:pPr>
        <w:pStyle w:val="Untitledsubclause2"/>
      </w:pPr>
      <w:bookmarkStart w:id="39" w:name="a161716"/>
      <w:r>
        <w:t xml:space="preserve">keep the Personal Data </w:t>
      </w:r>
      <w:proofErr w:type="gramStart"/>
      <w:r>
        <w:t>confidential;</w:t>
      </w:r>
      <w:bookmarkEnd w:id="39"/>
      <w:proofErr w:type="gramEnd"/>
    </w:p>
    <w:p w14:paraId="06D185F0" w14:textId="77777777" w:rsidR="00000000" w:rsidRPr="004D6ABF" w:rsidRDefault="00000000" w:rsidP="000D09DC">
      <w:pPr>
        <w:pStyle w:val="Untitledsubclause2"/>
      </w:pPr>
      <w:bookmarkStart w:id="40" w:name="a430313"/>
      <w:r>
        <w:t>comply with our reasonable instructions with respect to processing Personal Data and with our [privacy standard OR data protection policy] [data retention guidelines] [LIST OTHER POLICIES</w:t>
      </w:r>
      <w:proofErr w:type="gramStart"/>
      <w:r>
        <w:t>];</w:t>
      </w:r>
      <w:bookmarkEnd w:id="40"/>
      <w:proofErr w:type="gramEnd"/>
    </w:p>
    <w:p w14:paraId="06D185F1" w14:textId="77777777" w:rsidR="00000000" w:rsidRDefault="00000000" w:rsidP="000D09DC">
      <w:pPr>
        <w:pStyle w:val="Untitledsubclause2"/>
      </w:pPr>
      <w:bookmarkStart w:id="41" w:name="a750117"/>
      <w:r>
        <w:t xml:space="preserve">[not transfer any Personal Data outside of the </w:t>
      </w:r>
      <w:proofErr w:type="gramStart"/>
      <w:r>
        <w:t>UK;</w:t>
      </w:r>
      <w:bookmarkEnd w:id="41"/>
      <w:proofErr w:type="gramEnd"/>
    </w:p>
    <w:p w14:paraId="06D185F2" w14:textId="77777777" w:rsidR="00000000" w:rsidRPr="002D3327" w:rsidRDefault="00000000" w:rsidP="000D09DC">
      <w:pPr>
        <w:pStyle w:val="Parasubclause2"/>
      </w:pPr>
      <w:r>
        <w:rPr>
          <w:b/>
          <w:bCs/>
        </w:rPr>
        <w:t>OR</w:t>
      </w:r>
    </w:p>
    <w:p w14:paraId="06D185F3" w14:textId="77777777" w:rsidR="00000000" w:rsidRPr="007758A5" w:rsidRDefault="00000000" w:rsidP="000D09DC">
      <w:pPr>
        <w:pStyle w:val="Parasubclause2"/>
      </w:pPr>
      <w:r>
        <w:t>not transfer any Personal Data outside of the UK unless, in accordance with the Data Protection Legislation, you ensure that (</w:t>
      </w:r>
      <w:proofErr w:type="spellStart"/>
      <w:r>
        <w:t>i</w:t>
      </w:r>
      <w:proofErr w:type="spellEnd"/>
      <w:r>
        <w:t>) the transfer is to a country approved as providing an adequate level of protection for Personal Data; or (ii) there are appropriate safeguards in place for the transfer of Personal Data; or (iii) binding corporate rules are in place; or (iv) one of the derogations for specific situations applies to the transfer;]</w:t>
      </w:r>
    </w:p>
    <w:p w14:paraId="06D185F4" w14:textId="77777777" w:rsidR="00000000" w:rsidRPr="004D6ABF" w:rsidRDefault="00000000" w:rsidP="000D09DC">
      <w:pPr>
        <w:pStyle w:val="Untitledsubclause2"/>
      </w:pPr>
      <w:bookmarkStart w:id="42" w:name="a516337"/>
      <w:r>
        <w:t xml:space="preserve">assist us [at our cost] in responding to any data subject access request and to ensure compliance with our obligations under the Data Protection Legislation with respect to security, breach notifications, privacy impact assessments and consultations with supervisory authorities or </w:t>
      </w:r>
      <w:proofErr w:type="gramStart"/>
      <w:r>
        <w:t>regulators;</w:t>
      </w:r>
      <w:bookmarkEnd w:id="42"/>
      <w:proofErr w:type="gramEnd"/>
    </w:p>
    <w:p w14:paraId="06D185F5" w14:textId="77777777" w:rsidR="00000000" w:rsidRPr="004D6ABF" w:rsidRDefault="00000000" w:rsidP="000D09DC">
      <w:pPr>
        <w:pStyle w:val="Untitledsubclause2"/>
      </w:pPr>
      <w:bookmarkStart w:id="43" w:name="a226835"/>
      <w:r>
        <w:t xml:space="preserve">notify us without undue delay on becoming aware of a Personal Data breach or communication which relates to your or our compliance with the Data Protection </w:t>
      </w:r>
      <w:proofErr w:type="gramStart"/>
      <w:r>
        <w:t>Legislation;</w:t>
      </w:r>
      <w:bookmarkEnd w:id="43"/>
      <w:proofErr w:type="gramEnd"/>
    </w:p>
    <w:p w14:paraId="06D185F6" w14:textId="77777777" w:rsidR="00000000" w:rsidRPr="004D6ABF" w:rsidRDefault="00000000" w:rsidP="000D09DC">
      <w:pPr>
        <w:pStyle w:val="Untitledsubclause2"/>
      </w:pPr>
      <w:bookmarkStart w:id="44" w:name="a753910"/>
      <w:r>
        <w:t>at our written request, delete or return Personal Data (and any copies of the same) to us on termination of this agreement unless required by the Data Protection Legislation to store the Personal Data; and</w:t>
      </w:r>
      <w:bookmarkEnd w:id="44"/>
    </w:p>
    <w:p w14:paraId="06D185F7" w14:textId="77777777" w:rsidR="00000000" w:rsidRPr="004D6ABF" w:rsidRDefault="00000000" w:rsidP="000D09DC">
      <w:pPr>
        <w:pStyle w:val="Untitledsubclause2"/>
      </w:pPr>
      <w:bookmarkStart w:id="45" w:name="a675151"/>
      <w:r>
        <w:t>maintain complete and accurate records and information to demonstrate compliance with this clause [6] [and allow for audits by us or our designated auditor.]</w:t>
      </w:r>
      <w:bookmarkEnd w:id="45"/>
    </w:p>
    <w:p w14:paraId="06D185F8" w14:textId="77777777" w:rsidR="00000000" w:rsidRPr="004D6ABF" w:rsidRDefault="00000000" w:rsidP="000D09DC">
      <w:pPr>
        <w:pStyle w:val="Untitledsubclause1"/>
      </w:pPr>
      <w:bookmarkStart w:id="46" w:name="a972075"/>
      <w:r>
        <w:t>[You shall ensure that you have in place appropriate technical or organisational measures, reviewed and approved by us,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Such measures may include, where appropriate:</w:t>
      </w:r>
      <w:r>
        <w:fldChar w:fldCharType="begin"/>
      </w:r>
      <w:r>
        <w:instrText xml:space="preserve"> MACROBUTTON optional </w:instrText>
      </w:r>
      <w:r>
        <w:fldChar w:fldCharType="end"/>
      </w:r>
      <w:bookmarkEnd w:id="46"/>
    </w:p>
    <w:p w14:paraId="06D185F9" w14:textId="77777777" w:rsidR="00000000" w:rsidRPr="004D6ABF" w:rsidRDefault="00000000" w:rsidP="000D09DC">
      <w:pPr>
        <w:pStyle w:val="Untitledsubclause2"/>
      </w:pPr>
      <w:bookmarkStart w:id="47" w:name="a419158"/>
      <w:r>
        <w:t xml:space="preserve">pseudonymising and encrypting Personal </w:t>
      </w:r>
      <w:proofErr w:type="gramStart"/>
      <w:r>
        <w:t>Data;</w:t>
      </w:r>
      <w:bookmarkEnd w:id="47"/>
      <w:proofErr w:type="gramEnd"/>
    </w:p>
    <w:p w14:paraId="06D185FA" w14:textId="77777777" w:rsidR="00000000" w:rsidRPr="004D6ABF" w:rsidRDefault="00000000" w:rsidP="000D09DC">
      <w:pPr>
        <w:pStyle w:val="Untitledsubclause2"/>
      </w:pPr>
      <w:bookmarkStart w:id="48" w:name="a516894"/>
      <w:r>
        <w:t xml:space="preserve">ensuring confidentiality, integrity, availability and resilience of its systems and </w:t>
      </w:r>
      <w:proofErr w:type="gramStart"/>
      <w:r>
        <w:t>services;</w:t>
      </w:r>
      <w:bookmarkEnd w:id="48"/>
      <w:proofErr w:type="gramEnd"/>
    </w:p>
    <w:p w14:paraId="06D185FB" w14:textId="77777777" w:rsidR="00000000" w:rsidRPr="004D6ABF" w:rsidRDefault="00000000" w:rsidP="000D09DC">
      <w:pPr>
        <w:pStyle w:val="Untitledsubclause2"/>
      </w:pPr>
      <w:bookmarkStart w:id="49" w:name="a805561"/>
      <w:r>
        <w:t>ensuring that availability of and access to Personal Data can be restored in a timely manner after an incident; and</w:t>
      </w:r>
      <w:bookmarkEnd w:id="49"/>
    </w:p>
    <w:p w14:paraId="06D185FC" w14:textId="77777777" w:rsidR="00000000" w:rsidRPr="004D6ABF" w:rsidRDefault="00000000" w:rsidP="000D09DC">
      <w:pPr>
        <w:pStyle w:val="Untitledsubclause2"/>
      </w:pPr>
      <w:bookmarkStart w:id="50" w:name="a688816"/>
      <w:r>
        <w:t>regularly assessing and evaluating the effectiveness of the technical and organisational measures adopted by it.]</w:t>
      </w:r>
      <w:bookmarkEnd w:id="50"/>
    </w:p>
    <w:p w14:paraId="06D185FD" w14:textId="77777777" w:rsidR="00000000" w:rsidRDefault="00000000" w:rsidP="000D09DC">
      <w:pPr>
        <w:pStyle w:val="Untitledsubclause1"/>
      </w:pPr>
      <w:bookmarkStart w:id="51" w:name="a854999"/>
      <w:r>
        <w:lastRenderedPageBreak/>
        <w:t xml:space="preserve">[We do not agree to you appointing any third-party processor of Personal Data under this agreement. </w:t>
      </w:r>
      <w:r>
        <w:fldChar w:fldCharType="begin"/>
      </w:r>
      <w:r>
        <w:instrText>MACROBUTTON optional</w:instrText>
      </w:r>
      <w:r>
        <w:fldChar w:fldCharType="end"/>
      </w:r>
      <w:bookmarkEnd w:id="51"/>
    </w:p>
    <w:p w14:paraId="06D185FE" w14:textId="77777777" w:rsidR="00000000" w:rsidRDefault="00000000" w:rsidP="000D09DC">
      <w:pPr>
        <w:pStyle w:val="Parasubclause1"/>
      </w:pPr>
      <w:r>
        <w:rPr>
          <w:b/>
          <w:bCs/>
        </w:rPr>
        <w:t>OR</w:t>
      </w:r>
      <w:r>
        <w:t xml:space="preserve"> </w:t>
      </w:r>
    </w:p>
    <w:p w14:paraId="06D185FF" w14:textId="77777777" w:rsidR="00000000" w:rsidRDefault="00000000" w:rsidP="000D09DC">
      <w:pPr>
        <w:pStyle w:val="Parasubclause1"/>
      </w:pPr>
      <w:r>
        <w:t>You may only authorise a sub-processor to process Personal Data if:</w:t>
      </w:r>
    </w:p>
    <w:p w14:paraId="06D18600" w14:textId="77777777" w:rsidR="00000000" w:rsidRDefault="00000000" w:rsidP="000D09DC">
      <w:pPr>
        <w:pStyle w:val="Untitledsubclause2"/>
      </w:pPr>
      <w:bookmarkStart w:id="52" w:name="a207010"/>
      <w:r>
        <w:t xml:space="preserve">we [provide written consent prior to the appointment of each sub-processor] </w:t>
      </w:r>
      <w:r>
        <w:rPr>
          <w:b/>
          <w:bCs/>
        </w:rPr>
        <w:t xml:space="preserve">OR </w:t>
      </w:r>
      <w:r>
        <w:t>[are provided with an opportunity to object to the appointment of each sub-processor within [NUMBER] working days after you supply us with full details in writing regarding such sub-processor</w:t>
      </w:r>
      <w:proofErr w:type="gramStart"/>
      <w:r>
        <w:t>];</w:t>
      </w:r>
      <w:bookmarkEnd w:id="52"/>
      <w:proofErr w:type="gramEnd"/>
    </w:p>
    <w:p w14:paraId="06D18601" w14:textId="77777777" w:rsidR="00000000" w:rsidRDefault="00000000" w:rsidP="000D09DC">
      <w:pPr>
        <w:pStyle w:val="Untitledsubclause2"/>
      </w:pPr>
      <w:bookmarkStart w:id="53" w:name="a960552"/>
      <w:r>
        <w:t>you enter into a written contract with the sub-processor that contains terms substantially the same as those set out in this agreement, in particular in relation to requiring appropriate technical and organisational data security measures with regards to Article 32 of the UK GDPR and any relevant requirements under Article 28 of the UK GDPR, including but not limited to the sub-processor allowing for and contributing to audits by or on behalf of us and, where relevant, aiding us to respond to subject access requests, and, upon our written request, provide us with copies of the relevant excerpts from such contracts;</w:t>
      </w:r>
      <w:bookmarkEnd w:id="53"/>
    </w:p>
    <w:p w14:paraId="06D18602" w14:textId="77777777" w:rsidR="00000000" w:rsidRDefault="00000000" w:rsidP="000D09DC">
      <w:pPr>
        <w:pStyle w:val="Untitledsubclause2"/>
      </w:pPr>
      <w:bookmarkStart w:id="54" w:name="a636764"/>
      <w:r>
        <w:t xml:space="preserve">you maintain control over </w:t>
      </w:r>
      <w:proofErr w:type="gramStart"/>
      <w:r>
        <w:t>all of</w:t>
      </w:r>
      <w:proofErr w:type="gramEnd"/>
      <w:r>
        <w:t xml:space="preserve"> the Personal Data you entrust to the sub-processor; and</w:t>
      </w:r>
      <w:bookmarkEnd w:id="54"/>
    </w:p>
    <w:p w14:paraId="06D18603" w14:textId="77777777" w:rsidR="00000000" w:rsidRDefault="00000000" w:rsidP="000D09DC">
      <w:pPr>
        <w:pStyle w:val="Untitledsubclause2"/>
      </w:pPr>
      <w:bookmarkStart w:id="55" w:name="a980350"/>
      <w:r>
        <w:t>the sub-processor's contract terminates automatically on termination of this agreement for any reason.</w:t>
      </w:r>
      <w:bookmarkEnd w:id="55"/>
    </w:p>
    <w:p w14:paraId="06D18604" w14:textId="77777777" w:rsidR="00000000" w:rsidRDefault="00000000" w:rsidP="000D09DC">
      <w:pPr>
        <w:pStyle w:val="Parasubclause1"/>
      </w:pPr>
      <w:r>
        <w:t xml:space="preserve">You shall remain fully liable for all acts or omissions of any third-party processor appointed by you pursuant to this </w:t>
      </w:r>
      <w:r>
        <w:fldChar w:fldCharType="begin"/>
      </w:r>
      <w:r>
        <w:instrText>PAGEREF a854999\# "'clause '"  \h</w:instrText>
      </w:r>
      <w:r>
        <w:fldChar w:fldCharType="separate"/>
      </w:r>
      <w:r>
        <w:t xml:space="preserve">clause </w:t>
      </w:r>
      <w:r>
        <w:fldChar w:fldCharType="end"/>
      </w:r>
      <w:r>
        <w:fldChar w:fldCharType="begin"/>
      </w:r>
      <w:r>
        <w:rPr>
          <w:highlight w:val="lightGray"/>
        </w:rPr>
        <w:instrText>REF a854999 \h \w</w:instrText>
      </w:r>
      <w:r>
        <w:fldChar w:fldCharType="separate"/>
      </w:r>
      <w:r>
        <w:t>6.7</w:t>
      </w:r>
      <w:r>
        <w:fldChar w:fldCharType="end"/>
      </w:r>
      <w:proofErr w:type="gramStart"/>
      <w:r>
        <w:t>. ]</w:t>
      </w:r>
      <w:proofErr w:type="gramEnd"/>
    </w:p>
    <w:p w14:paraId="06D18605" w14:textId="77777777" w:rsidR="00000000" w:rsidRPr="004D6ABF" w:rsidRDefault="00000000" w:rsidP="000D09DC">
      <w:pPr>
        <w:pStyle w:val="Untitledsubclause1"/>
      </w:pPr>
      <w:bookmarkStart w:id="56" w:name="a438453"/>
      <w:r>
        <w:t xml:space="preserve">[You shall have personal liability for and shall indemnify us [and any other company in our group] for any loss, liability, costs (including legal costs), damages, or expenses resulting from any breach by you [or a sub-processor engaged by you] of the Data Protection Legislation, and shall maintain in force full and comprehensive insurance policies to cover such liability. </w:t>
      </w:r>
      <w:r>
        <w:fldChar w:fldCharType="begin"/>
      </w:r>
      <w:r>
        <w:fldChar w:fldCharType="end"/>
      </w:r>
      <w:r>
        <w:t>]</w:t>
      </w:r>
      <w:bookmarkEnd w:id="56"/>
    </w:p>
    <w:p w14:paraId="06D18606" w14:textId="77777777" w:rsidR="00000000" w:rsidRDefault="00000000" w:rsidP="000D09DC">
      <w:pPr>
        <w:pStyle w:val="TitleClause"/>
      </w:pPr>
      <w:bookmarkStart w:id="57" w:name="a791893"/>
      <w:r>
        <w:t>Intellectual property</w:t>
      </w:r>
      <w:bookmarkEnd w:id="57"/>
    </w:p>
    <w:p w14:paraId="06D18607" w14:textId="77777777" w:rsidR="00000000" w:rsidRDefault="00000000" w:rsidP="000D09DC">
      <w:pPr>
        <w:pStyle w:val="Untitledsubclause1"/>
      </w:pPr>
      <w:bookmarkStart w:id="58" w:name="a200217"/>
      <w:r>
        <w:t xml:space="preserve">You hereby assign to us all existing and future intellectual property rights (including, without limitation, patents, copyright and related rights) and inventions arising from the Services provided to us. You agree promptly to execute all documents and do all acts as may, in our opinion, be necessary to give effect to this </w:t>
      </w:r>
      <w:r>
        <w:fldChar w:fldCharType="begin"/>
      </w:r>
      <w:r>
        <w:instrText>PAGEREF a791893\# "'clause '"  \h</w:instrText>
      </w:r>
      <w:r>
        <w:fldChar w:fldCharType="separate"/>
      </w:r>
      <w:r>
        <w:t xml:space="preserve">clause </w:t>
      </w:r>
      <w:r>
        <w:fldChar w:fldCharType="end"/>
      </w:r>
      <w:r>
        <w:fldChar w:fldCharType="begin"/>
      </w:r>
      <w:r>
        <w:rPr>
          <w:highlight w:val="lightGray"/>
        </w:rPr>
        <w:instrText>REF a791893 \h \w</w:instrText>
      </w:r>
      <w:r>
        <w:fldChar w:fldCharType="separate"/>
      </w:r>
      <w:r>
        <w:t>7</w:t>
      </w:r>
      <w:r>
        <w:fldChar w:fldCharType="end"/>
      </w:r>
      <w:r>
        <w:t>.</w:t>
      </w:r>
      <w:bookmarkEnd w:id="58"/>
    </w:p>
    <w:p w14:paraId="06D18608" w14:textId="77777777" w:rsidR="00000000" w:rsidRDefault="00000000" w:rsidP="000D09DC">
      <w:pPr>
        <w:pStyle w:val="Untitledsubclause1"/>
      </w:pPr>
      <w:bookmarkStart w:id="59" w:name="a967387"/>
      <w:r>
        <w:t>You hereby irrevocably waive all moral rights under the Copyright, Designs and Patents Act 1988 (and all similar rights in other jurisdictions) which you have or will have in any existing or future works.</w:t>
      </w:r>
      <w:bookmarkEnd w:id="59"/>
    </w:p>
    <w:p w14:paraId="06D18609" w14:textId="77777777" w:rsidR="00000000" w:rsidRDefault="00000000" w:rsidP="000D09DC">
      <w:pPr>
        <w:pStyle w:val="Untitledsubclause1"/>
      </w:pPr>
      <w:r>
        <w:fldChar w:fldCharType="begin"/>
      </w:r>
      <w:r>
        <w:fldChar w:fldCharType="end"/>
      </w:r>
      <w:bookmarkStart w:id="60" w:name="a460358"/>
      <w:r>
        <w:t>[You irrevocably appoint us to be your attorney in your name and on your behalf to execute documents, use your name and do all things which are necessary or desirable for us to obtain for ourselves or our nominee the full benefit of this clause.]</w:t>
      </w:r>
      <w:bookmarkEnd w:id="60"/>
    </w:p>
    <w:p w14:paraId="06D1860A" w14:textId="77777777" w:rsidR="00000000" w:rsidRDefault="00000000" w:rsidP="000D09DC">
      <w:pPr>
        <w:pStyle w:val="TitleClause"/>
      </w:pPr>
      <w:bookmarkStart w:id="61" w:name="a688709"/>
      <w:r>
        <w:t>Insurance and liability</w:t>
      </w:r>
      <w:bookmarkEnd w:id="61"/>
    </w:p>
    <w:p w14:paraId="06D1860B" w14:textId="77777777" w:rsidR="00000000" w:rsidRDefault="00000000" w:rsidP="000D09DC">
      <w:pPr>
        <w:pStyle w:val="NoNumUntitledsubclause1"/>
      </w:pPr>
      <w:bookmarkStart w:id="62" w:name="a732915"/>
      <w:r>
        <w:t xml:space="preserve">You shall have personal liability for and shall indemnify us [and any other company in our group] for any loss, liability, costs (including reasonable legal costs), damages or expenses arising from [any breach by you, or any substitute engaged under this agreement, of the terms of this agreement, </w:t>
      </w:r>
      <w:r>
        <w:lastRenderedPageBreak/>
        <w:t>including any negligent or reckless act, omission or default in] the provision of the Services and shall maintain in force during the period of this agreement adequate insurance cover with reputable insurers acceptable to us.</w:t>
      </w:r>
      <w:bookmarkEnd w:id="62"/>
    </w:p>
    <w:p w14:paraId="06D1860C" w14:textId="77777777" w:rsidR="00000000" w:rsidRDefault="00000000" w:rsidP="000D09DC">
      <w:pPr>
        <w:pStyle w:val="TitleClause"/>
      </w:pPr>
      <w:bookmarkStart w:id="63" w:name="a569844"/>
      <w:r>
        <w:t>Termination</w:t>
      </w:r>
      <w:bookmarkEnd w:id="63"/>
    </w:p>
    <w:p w14:paraId="06D1860D" w14:textId="77777777" w:rsidR="00000000" w:rsidRDefault="00000000" w:rsidP="000D09DC">
      <w:pPr>
        <w:pStyle w:val="NoNumUntitledsubclause1"/>
      </w:pPr>
      <w:bookmarkStart w:id="64" w:name="a829649"/>
      <w:r>
        <w:t>We may at any time terminate your engagement with immediate effect with no liability to make any further payment to you (other than in respect of any accrued fees or expenses at the date of termination) if:</w:t>
      </w:r>
      <w:bookmarkEnd w:id="64"/>
    </w:p>
    <w:p w14:paraId="06D1860E" w14:textId="77777777" w:rsidR="00000000" w:rsidRDefault="00000000" w:rsidP="000D09DC">
      <w:pPr>
        <w:pStyle w:val="Untitledsubclause2"/>
      </w:pPr>
      <w:bookmarkStart w:id="65" w:name="a206584"/>
      <w:r>
        <w:t xml:space="preserve">you are in material breach of any of your obligations under this </w:t>
      </w:r>
      <w:proofErr w:type="gramStart"/>
      <w:r>
        <w:t>agreement;</w:t>
      </w:r>
      <w:proofErr w:type="gramEnd"/>
      <w:r>
        <w:t xml:space="preserve"> </w:t>
      </w:r>
      <w:bookmarkEnd w:id="65"/>
    </w:p>
    <w:p w14:paraId="06D1860F" w14:textId="77777777" w:rsidR="00000000" w:rsidRDefault="00000000" w:rsidP="000D09DC">
      <w:pPr>
        <w:pStyle w:val="Untitledsubclause2"/>
      </w:pPr>
      <w:bookmarkStart w:id="66" w:name="a583744"/>
      <w:r>
        <w:t xml:space="preserve">you fail to comply with your obligations under </w:t>
      </w:r>
      <w:r>
        <w:fldChar w:fldCharType="begin"/>
      </w:r>
      <w:r>
        <w:instrText>PAGEREF a332794\# "'clause '"  \h</w:instrText>
      </w:r>
      <w:r>
        <w:fldChar w:fldCharType="separate"/>
      </w:r>
      <w:r>
        <w:t xml:space="preserve">clause </w:t>
      </w:r>
      <w:r>
        <w:fldChar w:fldCharType="end"/>
      </w:r>
      <w:r>
        <w:fldChar w:fldCharType="begin"/>
      </w:r>
      <w:r>
        <w:rPr>
          <w:highlight w:val="lightGray"/>
        </w:rPr>
        <w:instrText>REF a332794 \h \w</w:instrText>
      </w:r>
      <w:r>
        <w:fldChar w:fldCharType="separate"/>
      </w:r>
      <w:r>
        <w:t>2.8</w:t>
      </w:r>
      <w:r>
        <w:fldChar w:fldCharType="end"/>
      </w:r>
      <w:r>
        <w:t xml:space="preserve">, </w:t>
      </w:r>
      <w:r>
        <w:fldChar w:fldCharType="begin"/>
      </w:r>
      <w:r>
        <w:instrText>PAGEREF a998772\# "'clause '"  \h</w:instrText>
      </w:r>
      <w:r>
        <w:fldChar w:fldCharType="separate"/>
      </w:r>
      <w:r>
        <w:t xml:space="preserve">clause </w:t>
      </w:r>
      <w:r>
        <w:fldChar w:fldCharType="end"/>
      </w:r>
      <w:r>
        <w:fldChar w:fldCharType="begin"/>
      </w:r>
      <w:r>
        <w:rPr>
          <w:highlight w:val="lightGray"/>
        </w:rPr>
        <w:instrText>REF a998772 \h \w</w:instrText>
      </w:r>
      <w:r>
        <w:fldChar w:fldCharType="separate"/>
      </w:r>
      <w:r>
        <w:t>2.9</w:t>
      </w:r>
      <w:r>
        <w:fldChar w:fldCharType="end"/>
      </w:r>
      <w:r>
        <w:t xml:space="preserve"> or </w:t>
      </w:r>
      <w:r>
        <w:fldChar w:fldCharType="begin"/>
      </w:r>
      <w:r>
        <w:instrText>PAGEREF a506356\# "'clause '"  \h</w:instrText>
      </w:r>
      <w:r>
        <w:fldChar w:fldCharType="separate"/>
      </w:r>
      <w:r>
        <w:t xml:space="preserve">clause </w:t>
      </w:r>
      <w:r>
        <w:fldChar w:fldCharType="end"/>
      </w:r>
      <w:r>
        <w:fldChar w:fldCharType="begin"/>
      </w:r>
      <w:r>
        <w:rPr>
          <w:highlight w:val="lightGray"/>
        </w:rPr>
        <w:instrText>REF a506356 \h \w</w:instrText>
      </w:r>
      <w:r>
        <w:fldChar w:fldCharType="separate"/>
      </w:r>
      <w:r>
        <w:t>2.10</w:t>
      </w:r>
      <w:r>
        <w:fldChar w:fldCharType="end"/>
      </w:r>
      <w:r>
        <w:t>; or</w:t>
      </w:r>
      <w:bookmarkEnd w:id="66"/>
    </w:p>
    <w:p w14:paraId="06D18610" w14:textId="77777777" w:rsidR="00000000" w:rsidRDefault="00000000" w:rsidP="000D09DC">
      <w:pPr>
        <w:pStyle w:val="Untitledsubclause2"/>
      </w:pPr>
      <w:bookmarkStart w:id="67" w:name="a473760"/>
      <w:r>
        <w:t xml:space="preserve">other than </w:t>
      </w:r>
      <w:proofErr w:type="gramStart"/>
      <w:r>
        <w:t>as a result of</w:t>
      </w:r>
      <w:proofErr w:type="gramEnd"/>
      <w:r>
        <w:t xml:space="preserve"> illness or accident, after notice in writing, you wilfully neglect to provide or fail to remedy any default in providing the Services.</w:t>
      </w:r>
      <w:bookmarkEnd w:id="67"/>
    </w:p>
    <w:p w14:paraId="06D18611" w14:textId="77777777" w:rsidR="00000000" w:rsidRDefault="00000000" w:rsidP="000D09DC">
      <w:pPr>
        <w:pStyle w:val="Parasubclause1"/>
      </w:pPr>
      <w:r>
        <w:t>Any delay by us in exercising our rights to terminate shall not constitute a waiver of those rights.</w:t>
      </w:r>
    </w:p>
    <w:p w14:paraId="06D18612" w14:textId="77777777" w:rsidR="00000000" w:rsidRDefault="00000000" w:rsidP="000D09DC">
      <w:pPr>
        <w:pStyle w:val="TitleClause"/>
      </w:pPr>
      <w:bookmarkStart w:id="68" w:name="a607250"/>
      <w:r>
        <w:t xml:space="preserve">Client property </w:t>
      </w:r>
      <w:bookmarkEnd w:id="68"/>
    </w:p>
    <w:p w14:paraId="06D18613" w14:textId="77777777" w:rsidR="00000000" w:rsidRDefault="00000000" w:rsidP="000D09DC">
      <w:pPr>
        <w:pStyle w:val="Untitledsubclause1"/>
      </w:pPr>
      <w:bookmarkStart w:id="69" w:name="a791100"/>
      <w:r>
        <w:t xml:space="preserve">All documents, manuals, hardware and software that we provide for your use, and any data or documents (including copies) produced, maintained or stored on our computer systems or other electronic equipment (including mobile phones)[, including confidential information as defined in </w:t>
      </w:r>
      <w:r>
        <w:fldChar w:fldCharType="begin"/>
      </w:r>
      <w:r>
        <w:instrText>PAGEREF a614506\# "'clause '"  \h</w:instrText>
      </w:r>
      <w:r>
        <w:fldChar w:fldCharType="separate"/>
      </w:r>
      <w:r>
        <w:t xml:space="preserve">clause </w:t>
      </w:r>
      <w:r>
        <w:fldChar w:fldCharType="end"/>
      </w:r>
      <w:r>
        <w:fldChar w:fldCharType="begin"/>
      </w:r>
      <w:r>
        <w:rPr>
          <w:highlight w:val="lightGray"/>
        </w:rPr>
        <w:instrText>REF a614506 \h \w</w:instrText>
      </w:r>
      <w:r>
        <w:fldChar w:fldCharType="separate"/>
      </w:r>
      <w:r>
        <w:t>5</w:t>
      </w:r>
      <w:r>
        <w:fldChar w:fldCharType="end"/>
      </w:r>
      <w:r>
        <w:t xml:space="preserve"> and copies of confidential information], remain our property. </w:t>
      </w:r>
      <w:bookmarkEnd w:id="69"/>
    </w:p>
    <w:p w14:paraId="06D18614" w14:textId="77777777" w:rsidR="00000000" w:rsidRPr="000B71C7" w:rsidRDefault="00000000" w:rsidP="000D09DC">
      <w:pPr>
        <w:pStyle w:val="Untitledsubclause1"/>
      </w:pPr>
      <w:bookmarkStart w:id="70" w:name="a679711"/>
      <w:r>
        <w:t xml:space="preserve">On termination of your engagement, or at our request at any time during your engagement, you shall[, and shall procure that any substitute shall,] hand over all property belonging to us [(including confidential information as defined in </w:t>
      </w:r>
      <w:r>
        <w:fldChar w:fldCharType="begin"/>
      </w:r>
      <w:r>
        <w:instrText>PAGEREF a614506\# "'clause '"  \h</w:instrText>
      </w:r>
      <w:r>
        <w:fldChar w:fldCharType="separate"/>
      </w:r>
      <w:r>
        <w:t xml:space="preserve">clause </w:t>
      </w:r>
      <w:r>
        <w:fldChar w:fldCharType="end"/>
      </w:r>
      <w:r>
        <w:fldChar w:fldCharType="begin"/>
      </w:r>
      <w:r>
        <w:rPr>
          <w:highlight w:val="lightGray"/>
        </w:rPr>
        <w:instrText>REF a614506 \h \w</w:instrText>
      </w:r>
      <w:r>
        <w:fldChar w:fldCharType="separate"/>
      </w:r>
      <w:r>
        <w:t>5</w:t>
      </w:r>
      <w:r>
        <w:fldChar w:fldCharType="end"/>
      </w:r>
      <w:r>
        <w:t xml:space="preserve"> and copies of confidential information)] to [POSITION] and irretrievably delete any information belonging to us [(including confidential information as defined in </w:t>
      </w:r>
      <w:r>
        <w:fldChar w:fldCharType="begin"/>
      </w:r>
      <w:r>
        <w:instrText>PAGEREF a614506\# "'clause '"  \h</w:instrText>
      </w:r>
      <w:r>
        <w:fldChar w:fldCharType="separate"/>
      </w:r>
      <w:r>
        <w:t xml:space="preserve">clause </w:t>
      </w:r>
      <w:r>
        <w:fldChar w:fldCharType="end"/>
      </w:r>
      <w:r>
        <w:fldChar w:fldCharType="begin"/>
      </w:r>
      <w:r>
        <w:rPr>
          <w:highlight w:val="lightGray"/>
        </w:rPr>
        <w:instrText>REF a614506 \h \w</w:instrText>
      </w:r>
      <w:r>
        <w:fldChar w:fldCharType="separate"/>
      </w:r>
      <w:r>
        <w:t>5</w:t>
      </w:r>
      <w:r>
        <w:fldChar w:fldCharType="end"/>
      </w:r>
      <w:r>
        <w:t xml:space="preserve"> and copies of confidential information)] which is stored on any magnetic or optical disk or memory, including personal computer networks, personal e-mail accounts or personal accounts on websites, in your possession or control.</w:t>
      </w:r>
      <w:bookmarkEnd w:id="70"/>
    </w:p>
    <w:p w14:paraId="06D18615" w14:textId="77777777" w:rsidR="00000000" w:rsidRDefault="00000000" w:rsidP="000D09DC">
      <w:pPr>
        <w:pStyle w:val="TitleClause"/>
      </w:pPr>
      <w:bookmarkStart w:id="71" w:name="a908172"/>
      <w:r>
        <w:t>Status</w:t>
      </w:r>
      <w:bookmarkEnd w:id="71"/>
    </w:p>
    <w:p w14:paraId="06D18616" w14:textId="77777777" w:rsidR="00000000" w:rsidRDefault="00000000" w:rsidP="000D09DC">
      <w:pPr>
        <w:pStyle w:val="Untitledsubclause1"/>
      </w:pPr>
      <w:bookmarkStart w:id="72" w:name="a938575"/>
      <w:r>
        <w:t>You will be an independent contractor and nothing in this agreement shall render you our employee, worker, agent or partner and you shall not hold yourself out as such.</w:t>
      </w:r>
      <w:bookmarkEnd w:id="72"/>
    </w:p>
    <w:p w14:paraId="06D18617" w14:textId="77777777" w:rsidR="00000000" w:rsidRDefault="00000000" w:rsidP="000D09DC">
      <w:pPr>
        <w:pStyle w:val="Untitledsubclause1"/>
      </w:pPr>
      <w:bookmarkStart w:id="73" w:name="a785883"/>
      <w:r>
        <w:t>You shall be fully responsible for and indemnify us [or any other company in our group] against any liability, assessment or claim for:</w:t>
      </w:r>
      <w:bookmarkEnd w:id="73"/>
    </w:p>
    <w:p w14:paraId="06D18618" w14:textId="77777777" w:rsidR="00000000" w:rsidRDefault="00000000" w:rsidP="000D09DC">
      <w:pPr>
        <w:pStyle w:val="Untitledsubclause2"/>
      </w:pPr>
      <w:bookmarkStart w:id="74" w:name="a141647"/>
      <w:r>
        <w:t>taxation howsoever arising from or made in connection with the performance of the Services, where such recovery is not prohibited by law; and</w:t>
      </w:r>
      <w:bookmarkEnd w:id="74"/>
    </w:p>
    <w:p w14:paraId="06D18619" w14:textId="77777777" w:rsidR="00000000" w:rsidRDefault="00000000" w:rsidP="000D09DC">
      <w:pPr>
        <w:pStyle w:val="Untitledsubclause2"/>
      </w:pPr>
      <w:bookmarkStart w:id="75" w:name="a671433"/>
      <w:r>
        <w:t xml:space="preserve">any employment-related claim or any claim based on worker status (including reasonable costs and expenses) brought by you or any substitute against us arising out of or in connection with the provision of the Services, except where such claim is </w:t>
      </w:r>
      <w:proofErr w:type="gramStart"/>
      <w:r>
        <w:t>as a result of</w:t>
      </w:r>
      <w:proofErr w:type="gramEnd"/>
      <w:r>
        <w:t xml:space="preserve"> any act or omission by us.</w:t>
      </w:r>
      <w:bookmarkEnd w:id="75"/>
    </w:p>
    <w:p w14:paraId="06D1861A" w14:textId="77777777" w:rsidR="00000000" w:rsidRDefault="00000000" w:rsidP="000D09DC">
      <w:pPr>
        <w:pStyle w:val="Parasubclause1"/>
      </w:pPr>
      <w:r>
        <w:t>We may satisfy such indemnity (in whole or in part) by way of deduction from any payment due to you.</w:t>
      </w:r>
    </w:p>
    <w:p w14:paraId="06D1861B" w14:textId="77777777" w:rsidR="00000000" w:rsidRDefault="00000000" w:rsidP="000D09DC">
      <w:pPr>
        <w:pStyle w:val="TitleClause"/>
      </w:pPr>
      <w:bookmarkStart w:id="76" w:name="a418705"/>
      <w:r>
        <w:lastRenderedPageBreak/>
        <w:t>Variation</w:t>
      </w:r>
      <w:bookmarkEnd w:id="76"/>
    </w:p>
    <w:p w14:paraId="06D1861C" w14:textId="77777777" w:rsidR="00000000" w:rsidRDefault="00000000" w:rsidP="000D09DC">
      <w:pPr>
        <w:pStyle w:val="NoNumUntitledsubclause1"/>
      </w:pPr>
      <w:bookmarkStart w:id="77" w:name="a923640"/>
      <w:r>
        <w:t>This agreement may only be varied by a document signed by both you and us.</w:t>
      </w:r>
      <w:bookmarkEnd w:id="77"/>
    </w:p>
    <w:p w14:paraId="06D1861D" w14:textId="77777777" w:rsidR="00000000" w:rsidRDefault="00000000" w:rsidP="000D09DC">
      <w:pPr>
        <w:pStyle w:val="TitleClause"/>
      </w:pPr>
      <w:bookmarkStart w:id="78" w:name="a590642"/>
      <w:r>
        <w:t>Third party rights</w:t>
      </w:r>
      <w:bookmarkEnd w:id="78"/>
    </w:p>
    <w:p w14:paraId="06D1861E" w14:textId="77777777" w:rsidR="00000000" w:rsidRDefault="00000000" w:rsidP="000D09DC">
      <w:pPr>
        <w:pStyle w:val="NoNumUntitledsubclause1"/>
      </w:pPr>
      <w:bookmarkStart w:id="79" w:name="a807516"/>
      <w:r>
        <w:t>The Contracts (Rights of Third Parties) Act 1999 shall not apply to this agreement and no person other than you and us shall have any rights under it. The terms of this agreement or any of them may be varied, amended or modified or this agreement may be suspended, cancelled or terminated by agreement in writing between the parties or this agreement may be rescinded (in each case) without the consent of any third party.</w:t>
      </w:r>
      <w:bookmarkEnd w:id="79"/>
    </w:p>
    <w:p w14:paraId="06D1861F" w14:textId="77777777" w:rsidR="00000000" w:rsidRDefault="00000000" w:rsidP="000D09DC">
      <w:pPr>
        <w:pStyle w:val="TitleClause"/>
      </w:pPr>
      <w:bookmarkStart w:id="80" w:name="a544951"/>
      <w:r>
        <w:t>Governing law</w:t>
      </w:r>
      <w:bookmarkEnd w:id="80"/>
    </w:p>
    <w:p w14:paraId="06D18620" w14:textId="77777777" w:rsidR="00000000" w:rsidRDefault="00000000" w:rsidP="000D09DC">
      <w:pPr>
        <w:pStyle w:val="NoNumUntitledsubclause1"/>
      </w:pPr>
      <w:bookmarkStart w:id="81" w:name="a275868"/>
      <w:r>
        <w:t>This agreement and any dispute or claim arising out of or in connection with it or its subject matter or formation (including non-contractual disputes or claims) shall be governed by and construed in accordance with the law of England and Wales.</w:t>
      </w:r>
      <w:bookmarkEnd w:id="81"/>
    </w:p>
    <w:p w14:paraId="06D18621" w14:textId="77777777" w:rsidR="00000000" w:rsidRDefault="00000000" w:rsidP="000D09DC">
      <w:pPr>
        <w:pStyle w:val="TitleClause"/>
      </w:pPr>
      <w:bookmarkStart w:id="82" w:name="a274455"/>
      <w:r>
        <w:t>Jurisdiction</w:t>
      </w:r>
      <w:bookmarkEnd w:id="82"/>
    </w:p>
    <w:p w14:paraId="06D18622" w14:textId="77777777" w:rsidR="00000000" w:rsidRDefault="00000000" w:rsidP="000D09DC">
      <w:pPr>
        <w:pStyle w:val="NoNumUntitledsubclause1"/>
      </w:pPr>
      <w:bookmarkStart w:id="83" w:name="a192877"/>
      <w:r>
        <w:t>The courts of England and Wales shall have exclusive jurisdiction to settle any dispute or claim arising out of or in connection with this agreement or its subject matter or formation (including non-contractual disputes or claims).</w:t>
      </w:r>
      <w:bookmarkEnd w:id="83"/>
    </w:p>
    <w:p w14:paraId="06D18623" w14:textId="77777777" w:rsidR="00000000" w:rsidRDefault="00000000" w:rsidP="000D09DC">
      <w:pPr>
        <w:pStyle w:val="NoNumUntitledClause"/>
      </w:pPr>
      <w:bookmarkStart w:id="84" w:name="a826292"/>
      <w:r>
        <w:t>Please acknowledge receipt of this letter and acceptance of its terms by signing, dating and returning the enclosed copy.</w:t>
      </w:r>
      <w:bookmarkEnd w:id="84"/>
    </w:p>
    <w:p w14:paraId="06D18624" w14:textId="77777777" w:rsidR="00000000" w:rsidRDefault="00000000" w:rsidP="000D09DC">
      <w:pPr>
        <w:pStyle w:val="ClosingSignOff"/>
      </w:pPr>
      <w:r>
        <w:t>Yours sincerely,</w:t>
      </w:r>
    </w:p>
    <w:p w14:paraId="06D18625" w14:textId="77777777" w:rsidR="0073385C" w:rsidRDefault="00000000">
      <w:r>
        <w:br w:type="page"/>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6735"/>
      </w:tblGrid>
      <w:tr w:rsidR="0073385C" w14:paraId="06D18627" w14:textId="77777777" w:rsidTr="00AE4FAF">
        <w:tc>
          <w:tcPr>
            <w:tcW w:w="0" w:type="auto"/>
            <w:tcBorders>
              <w:top w:val="nil"/>
              <w:left w:val="nil"/>
              <w:bottom w:val="nil"/>
              <w:right w:val="nil"/>
            </w:tcBorders>
            <w:shd w:val="clear" w:color="DDD9C3" w:fill="EEECE1"/>
          </w:tcPr>
          <w:p w14:paraId="06D18626" w14:textId="77777777" w:rsidR="00000000" w:rsidRDefault="00000000" w:rsidP="00AE4FAF">
            <w:pPr>
              <w:pStyle w:val="Paragraph"/>
            </w:pPr>
            <w:r>
              <w:lastRenderedPageBreak/>
              <w:t>................................................................</w:t>
            </w:r>
          </w:p>
        </w:tc>
      </w:tr>
      <w:tr w:rsidR="0073385C" w14:paraId="06D18629" w14:textId="77777777" w:rsidTr="00AE4FAF">
        <w:tc>
          <w:tcPr>
            <w:tcW w:w="0" w:type="auto"/>
            <w:tcBorders>
              <w:top w:val="nil"/>
              <w:left w:val="nil"/>
              <w:bottom w:val="nil"/>
              <w:right w:val="nil"/>
            </w:tcBorders>
            <w:shd w:val="clear" w:color="DDD9C3" w:fill="EEECE1"/>
          </w:tcPr>
          <w:p w14:paraId="06D18628" w14:textId="77777777" w:rsidR="00000000" w:rsidRDefault="00000000" w:rsidP="00AE4FAF">
            <w:pPr>
              <w:pStyle w:val="Paragraph"/>
            </w:pPr>
            <w:r>
              <w:t>[NAME]</w:t>
            </w:r>
          </w:p>
        </w:tc>
      </w:tr>
      <w:tr w:rsidR="0073385C" w14:paraId="06D1862B" w14:textId="77777777" w:rsidTr="00AE4FAF">
        <w:tc>
          <w:tcPr>
            <w:tcW w:w="0" w:type="auto"/>
            <w:tcBorders>
              <w:top w:val="nil"/>
              <w:left w:val="nil"/>
              <w:bottom w:val="nil"/>
              <w:right w:val="nil"/>
            </w:tcBorders>
            <w:shd w:val="clear" w:color="DDD9C3" w:fill="EEECE1"/>
          </w:tcPr>
          <w:p w14:paraId="06D1862A" w14:textId="77777777" w:rsidR="00000000" w:rsidRDefault="00000000" w:rsidP="00AE4FAF">
            <w:pPr>
              <w:pStyle w:val="Paragraph"/>
            </w:pPr>
            <w:r>
              <w:t xml:space="preserve">For and on behalf of </w:t>
            </w:r>
          </w:p>
        </w:tc>
      </w:tr>
      <w:tr w:rsidR="0073385C" w14:paraId="06D1862D" w14:textId="77777777" w:rsidTr="00AE4FAF">
        <w:tc>
          <w:tcPr>
            <w:tcW w:w="0" w:type="auto"/>
            <w:tcBorders>
              <w:top w:val="nil"/>
              <w:left w:val="nil"/>
              <w:bottom w:val="nil"/>
              <w:right w:val="nil"/>
            </w:tcBorders>
            <w:shd w:val="clear" w:color="DDD9C3" w:fill="EEECE1"/>
          </w:tcPr>
          <w:p w14:paraId="06D1862C" w14:textId="77777777" w:rsidR="00000000" w:rsidRDefault="00000000" w:rsidP="00AE4FAF">
            <w:pPr>
              <w:pStyle w:val="Paragraph"/>
            </w:pPr>
            <w:r>
              <w:t>[COMPANY]</w:t>
            </w:r>
          </w:p>
        </w:tc>
      </w:tr>
      <w:tr w:rsidR="0073385C" w14:paraId="06D1862F" w14:textId="77777777" w:rsidTr="00AE4FAF">
        <w:tc>
          <w:tcPr>
            <w:tcW w:w="0" w:type="auto"/>
            <w:tcBorders>
              <w:top w:val="nil"/>
              <w:left w:val="nil"/>
              <w:bottom w:val="nil"/>
              <w:right w:val="nil"/>
            </w:tcBorders>
            <w:shd w:val="clear" w:color="DDD9C3" w:fill="EEECE1"/>
          </w:tcPr>
          <w:p w14:paraId="06D1862E" w14:textId="77777777" w:rsidR="00000000" w:rsidRDefault="00000000" w:rsidP="00AE4FAF">
            <w:pPr>
              <w:pStyle w:val="Paragraph"/>
            </w:pPr>
            <w:r>
              <w:t> </w:t>
            </w:r>
          </w:p>
        </w:tc>
      </w:tr>
      <w:tr w:rsidR="0073385C" w14:paraId="06D18631" w14:textId="77777777" w:rsidTr="00AE4FAF">
        <w:tc>
          <w:tcPr>
            <w:tcW w:w="0" w:type="auto"/>
            <w:tcBorders>
              <w:top w:val="nil"/>
              <w:left w:val="nil"/>
              <w:bottom w:val="nil"/>
              <w:right w:val="nil"/>
            </w:tcBorders>
            <w:shd w:val="clear" w:color="DDD9C3" w:fill="EEECE1"/>
          </w:tcPr>
          <w:p w14:paraId="06D18630" w14:textId="77777777" w:rsidR="00000000" w:rsidRDefault="00000000" w:rsidP="00AE4FAF">
            <w:pPr>
              <w:pStyle w:val="Paragraph"/>
            </w:pPr>
            <w:r>
              <w:t>I hereby acknowledge receipt and accept the contents of this letter.</w:t>
            </w:r>
          </w:p>
        </w:tc>
      </w:tr>
      <w:tr w:rsidR="0073385C" w14:paraId="06D18633" w14:textId="77777777" w:rsidTr="00AE4FAF">
        <w:tc>
          <w:tcPr>
            <w:tcW w:w="0" w:type="auto"/>
            <w:tcBorders>
              <w:top w:val="nil"/>
              <w:left w:val="nil"/>
              <w:bottom w:val="nil"/>
              <w:right w:val="nil"/>
            </w:tcBorders>
            <w:shd w:val="clear" w:color="DDD9C3" w:fill="EEECE1"/>
          </w:tcPr>
          <w:p w14:paraId="06D18632" w14:textId="77777777" w:rsidR="00000000" w:rsidRDefault="00000000" w:rsidP="00AE4FAF">
            <w:pPr>
              <w:pStyle w:val="Paragraph"/>
            </w:pPr>
            <w:r>
              <w:t> </w:t>
            </w:r>
          </w:p>
        </w:tc>
      </w:tr>
      <w:tr w:rsidR="0073385C" w14:paraId="06D18635" w14:textId="77777777" w:rsidTr="00AE4FAF">
        <w:tc>
          <w:tcPr>
            <w:tcW w:w="0" w:type="auto"/>
            <w:tcBorders>
              <w:top w:val="nil"/>
              <w:left w:val="nil"/>
              <w:bottom w:val="nil"/>
              <w:right w:val="nil"/>
            </w:tcBorders>
            <w:shd w:val="clear" w:color="DDD9C3" w:fill="EEECE1"/>
          </w:tcPr>
          <w:p w14:paraId="06D18634" w14:textId="77777777" w:rsidR="00000000" w:rsidRDefault="00000000" w:rsidP="00AE4FAF">
            <w:pPr>
              <w:pStyle w:val="Paragraph"/>
            </w:pPr>
            <w:r>
              <w:t>Signed .....................................................</w:t>
            </w:r>
          </w:p>
        </w:tc>
      </w:tr>
      <w:tr w:rsidR="0073385C" w14:paraId="06D18637" w14:textId="77777777" w:rsidTr="00AE4FAF">
        <w:tc>
          <w:tcPr>
            <w:tcW w:w="0" w:type="auto"/>
            <w:tcBorders>
              <w:top w:val="nil"/>
              <w:left w:val="nil"/>
              <w:bottom w:val="nil"/>
              <w:right w:val="nil"/>
            </w:tcBorders>
            <w:shd w:val="clear" w:color="DDD9C3" w:fill="EEECE1"/>
          </w:tcPr>
          <w:p w14:paraId="06D18636" w14:textId="77777777" w:rsidR="00000000" w:rsidRDefault="00000000" w:rsidP="00AE4FAF">
            <w:pPr>
              <w:pStyle w:val="Paragraph"/>
            </w:pPr>
            <w:r>
              <w:t>[CONSULTANT]</w:t>
            </w:r>
          </w:p>
        </w:tc>
      </w:tr>
      <w:tr w:rsidR="0073385C" w14:paraId="06D18639" w14:textId="77777777" w:rsidTr="00AE4FAF">
        <w:tc>
          <w:tcPr>
            <w:tcW w:w="0" w:type="auto"/>
            <w:tcBorders>
              <w:top w:val="nil"/>
              <w:left w:val="nil"/>
              <w:bottom w:val="nil"/>
              <w:right w:val="nil"/>
            </w:tcBorders>
            <w:shd w:val="clear" w:color="DDD9C3" w:fill="EEECE1"/>
          </w:tcPr>
          <w:p w14:paraId="06D18638" w14:textId="77777777" w:rsidR="00000000" w:rsidRDefault="00000000" w:rsidP="00AE4FAF">
            <w:pPr>
              <w:pStyle w:val="Paragraph"/>
            </w:pPr>
            <w:r>
              <w:t> </w:t>
            </w:r>
          </w:p>
        </w:tc>
      </w:tr>
      <w:tr w:rsidR="0073385C" w14:paraId="06D1863B" w14:textId="77777777" w:rsidTr="00AE4FAF">
        <w:tc>
          <w:tcPr>
            <w:tcW w:w="0" w:type="auto"/>
            <w:tcBorders>
              <w:top w:val="nil"/>
              <w:left w:val="nil"/>
              <w:bottom w:val="nil"/>
              <w:right w:val="nil"/>
            </w:tcBorders>
            <w:shd w:val="clear" w:color="DDD9C3" w:fill="EEECE1"/>
          </w:tcPr>
          <w:p w14:paraId="06D1863A" w14:textId="77777777" w:rsidR="00000000" w:rsidRDefault="00000000" w:rsidP="00AE4FAF">
            <w:pPr>
              <w:pStyle w:val="Paragraph"/>
            </w:pPr>
            <w:r>
              <w:t>Date ........................................................</w:t>
            </w:r>
          </w:p>
        </w:tc>
      </w:tr>
    </w:tbl>
    <w:p w14:paraId="06D1863C" w14:textId="77777777" w:rsidR="00000000" w:rsidRDefault="00000000" w:rsidP="000D09DC">
      <w:pPr>
        <w:pStyle w:val="Schedule"/>
        <w:pageBreakBefore/>
        <w:numPr>
          <w:ilvl w:val="0"/>
          <w:numId w:val="54"/>
        </w:numPr>
      </w:pPr>
      <w:bookmarkStart w:id="85" w:name="a598255"/>
      <w:r>
        <w:lastRenderedPageBreak/>
        <w:t>PROCESSING, PERSONAL DATA AND DATA SUBJECTS</w:t>
      </w:r>
      <w:bookmarkEnd w:id="85"/>
    </w:p>
    <w:p w14:paraId="06D1863D" w14:textId="77777777" w:rsidR="00000000" w:rsidRDefault="00000000" w:rsidP="000D09DC">
      <w:pPr>
        <w:pStyle w:val="Part"/>
        <w:numPr>
          <w:ilvl w:val="0"/>
          <w:numId w:val="58"/>
        </w:numPr>
      </w:pPr>
      <w:bookmarkStart w:id="86" w:name="a969013"/>
      <w:r>
        <w:t>PROCESSING BY THE CONSULTANT</w:t>
      </w:r>
      <w:bookmarkEnd w:id="86"/>
    </w:p>
    <w:p w14:paraId="06D1863E" w14:textId="77777777" w:rsidR="00000000" w:rsidRDefault="00000000" w:rsidP="000D09DC">
      <w:pPr>
        <w:pStyle w:val="ScheduleTitleClause"/>
        <w:numPr>
          <w:ilvl w:val="0"/>
          <w:numId w:val="62"/>
        </w:numPr>
      </w:pPr>
      <w:bookmarkStart w:id="87" w:name="a208377"/>
      <w:r>
        <w:t>SCOPE</w:t>
      </w:r>
      <w:bookmarkEnd w:id="87"/>
    </w:p>
    <w:p w14:paraId="06D1863F" w14:textId="77777777" w:rsidR="00000000" w:rsidRDefault="00000000" w:rsidP="000D09DC">
      <w:pPr>
        <w:pStyle w:val="ScheduleTitleClause"/>
        <w:numPr>
          <w:ilvl w:val="0"/>
          <w:numId w:val="62"/>
        </w:numPr>
      </w:pPr>
      <w:bookmarkStart w:id="88" w:name="a163519"/>
      <w:r>
        <w:t>NATURE</w:t>
      </w:r>
      <w:bookmarkEnd w:id="88"/>
    </w:p>
    <w:p w14:paraId="06D18640" w14:textId="77777777" w:rsidR="00000000" w:rsidRDefault="00000000" w:rsidP="000D09DC">
      <w:pPr>
        <w:pStyle w:val="ScheduleTitleClause"/>
        <w:numPr>
          <w:ilvl w:val="0"/>
          <w:numId w:val="62"/>
        </w:numPr>
      </w:pPr>
      <w:bookmarkStart w:id="89" w:name="a405493"/>
      <w:r>
        <w:t>PURPOSE OF PROCESSING</w:t>
      </w:r>
      <w:bookmarkEnd w:id="89"/>
    </w:p>
    <w:p w14:paraId="06D18641" w14:textId="77777777" w:rsidR="00000000" w:rsidRDefault="00000000" w:rsidP="000D09DC">
      <w:pPr>
        <w:pStyle w:val="ScheduleTitleClause"/>
        <w:numPr>
          <w:ilvl w:val="0"/>
          <w:numId w:val="62"/>
        </w:numPr>
      </w:pPr>
      <w:bookmarkStart w:id="90" w:name="a104629"/>
      <w:r>
        <w:t>DURATION OF THE PROCESSING</w:t>
      </w:r>
      <w:bookmarkEnd w:id="90"/>
    </w:p>
    <w:p w14:paraId="06D18642" w14:textId="77777777" w:rsidR="00000000" w:rsidRDefault="00000000" w:rsidP="000D09DC">
      <w:pPr>
        <w:pStyle w:val="Part"/>
        <w:numPr>
          <w:ilvl w:val="0"/>
          <w:numId w:val="58"/>
        </w:numPr>
      </w:pPr>
      <w:bookmarkStart w:id="91" w:name="a419059"/>
      <w:r>
        <w:t>TYPES OF PERSONAL DATA</w:t>
      </w:r>
      <w:bookmarkEnd w:id="91"/>
    </w:p>
    <w:p w14:paraId="06D18643" w14:textId="77777777" w:rsidR="00000000" w:rsidRDefault="00000000" w:rsidP="000D09DC">
      <w:pPr>
        <w:pStyle w:val="Part"/>
        <w:numPr>
          <w:ilvl w:val="0"/>
          <w:numId w:val="58"/>
        </w:numPr>
      </w:pPr>
      <w:bookmarkStart w:id="92" w:name="a431891"/>
      <w:r>
        <w:t>CATEGORIES OF DATA SUBJECT</w:t>
      </w:r>
      <w:bookmarkEnd w:id="92"/>
    </w:p>
    <w:sectPr w:rsidR="00076C54" w:rsidSect="00076C54">
      <w:footerReference w:type="default" r:id="rId11"/>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5B2BC" w14:textId="77777777" w:rsidR="008A067F" w:rsidRDefault="008A067F">
      <w:pPr>
        <w:spacing w:after="0" w:line="240" w:lineRule="auto"/>
      </w:pPr>
      <w:r>
        <w:separator/>
      </w:r>
    </w:p>
  </w:endnote>
  <w:endnote w:type="continuationSeparator" w:id="0">
    <w:p w14:paraId="2EF8BAF5" w14:textId="77777777" w:rsidR="008A067F" w:rsidRDefault="008A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8644" w14:textId="77777777" w:rsidR="0073385C" w:rsidRDefault="00000000">
    <w:pPr>
      <w:jc w:val="center"/>
    </w:pP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AF7CC" w14:textId="77777777" w:rsidR="008A067F" w:rsidRDefault="008A067F">
      <w:pPr>
        <w:spacing w:after="0" w:line="240" w:lineRule="auto"/>
      </w:pPr>
      <w:r>
        <w:separator/>
      </w:r>
    </w:p>
  </w:footnote>
  <w:footnote w:type="continuationSeparator" w:id="0">
    <w:p w14:paraId="00F277D9" w14:textId="77777777" w:rsidR="008A067F" w:rsidRDefault="008A0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8258D588">
      <w:start w:val="1"/>
      <w:numFmt w:val="bullet"/>
      <w:pStyle w:val="DefinedTermBullet"/>
      <w:lvlText w:val=""/>
      <w:lvlJc w:val="left"/>
      <w:pPr>
        <w:ind w:left="1440" w:hanging="360"/>
      </w:pPr>
      <w:rPr>
        <w:rFonts w:ascii="Symbol" w:hAnsi="Symbol" w:hint="default"/>
        <w:color w:val="000000"/>
      </w:rPr>
    </w:lvl>
    <w:lvl w:ilvl="1" w:tplc="659C7B5E" w:tentative="1">
      <w:start w:val="1"/>
      <w:numFmt w:val="bullet"/>
      <w:lvlText w:val="o"/>
      <w:lvlJc w:val="left"/>
      <w:pPr>
        <w:ind w:left="2160" w:hanging="360"/>
      </w:pPr>
      <w:rPr>
        <w:rFonts w:ascii="Courier New" w:hAnsi="Courier New" w:cs="Courier New" w:hint="default"/>
      </w:rPr>
    </w:lvl>
    <w:lvl w:ilvl="2" w:tplc="4C0CB72C" w:tentative="1">
      <w:start w:val="1"/>
      <w:numFmt w:val="bullet"/>
      <w:lvlText w:val=""/>
      <w:lvlJc w:val="left"/>
      <w:pPr>
        <w:ind w:left="2880" w:hanging="360"/>
      </w:pPr>
      <w:rPr>
        <w:rFonts w:ascii="Wingdings" w:hAnsi="Wingdings" w:hint="default"/>
      </w:rPr>
    </w:lvl>
    <w:lvl w:ilvl="3" w:tplc="B76C57D2" w:tentative="1">
      <w:start w:val="1"/>
      <w:numFmt w:val="bullet"/>
      <w:lvlText w:val=""/>
      <w:lvlJc w:val="left"/>
      <w:pPr>
        <w:ind w:left="3600" w:hanging="360"/>
      </w:pPr>
      <w:rPr>
        <w:rFonts w:ascii="Symbol" w:hAnsi="Symbol" w:hint="default"/>
      </w:rPr>
    </w:lvl>
    <w:lvl w:ilvl="4" w:tplc="9B546072" w:tentative="1">
      <w:start w:val="1"/>
      <w:numFmt w:val="bullet"/>
      <w:lvlText w:val="o"/>
      <w:lvlJc w:val="left"/>
      <w:pPr>
        <w:ind w:left="4320" w:hanging="360"/>
      </w:pPr>
      <w:rPr>
        <w:rFonts w:ascii="Courier New" w:hAnsi="Courier New" w:cs="Courier New" w:hint="default"/>
      </w:rPr>
    </w:lvl>
    <w:lvl w:ilvl="5" w:tplc="74707F20" w:tentative="1">
      <w:start w:val="1"/>
      <w:numFmt w:val="bullet"/>
      <w:lvlText w:val=""/>
      <w:lvlJc w:val="left"/>
      <w:pPr>
        <w:ind w:left="5040" w:hanging="360"/>
      </w:pPr>
      <w:rPr>
        <w:rFonts w:ascii="Wingdings" w:hAnsi="Wingdings" w:hint="default"/>
      </w:rPr>
    </w:lvl>
    <w:lvl w:ilvl="6" w:tplc="6F2A3FBC" w:tentative="1">
      <w:start w:val="1"/>
      <w:numFmt w:val="bullet"/>
      <w:lvlText w:val=""/>
      <w:lvlJc w:val="left"/>
      <w:pPr>
        <w:ind w:left="5760" w:hanging="360"/>
      </w:pPr>
      <w:rPr>
        <w:rFonts w:ascii="Symbol" w:hAnsi="Symbol" w:hint="default"/>
      </w:rPr>
    </w:lvl>
    <w:lvl w:ilvl="7" w:tplc="6EBE0CEE" w:tentative="1">
      <w:start w:val="1"/>
      <w:numFmt w:val="bullet"/>
      <w:lvlText w:val="o"/>
      <w:lvlJc w:val="left"/>
      <w:pPr>
        <w:ind w:left="6480" w:hanging="360"/>
      </w:pPr>
      <w:rPr>
        <w:rFonts w:ascii="Courier New" w:hAnsi="Courier New" w:cs="Courier New" w:hint="default"/>
      </w:rPr>
    </w:lvl>
    <w:lvl w:ilvl="8" w:tplc="7126253E"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2E840A7C">
      <w:start w:val="1"/>
      <w:numFmt w:val="lowerLetter"/>
      <w:lvlText w:val="%1)"/>
      <w:lvlJc w:val="left"/>
      <w:pPr>
        <w:ind w:left="1714" w:hanging="360"/>
      </w:pPr>
      <w:rPr>
        <w:color w:val="000000"/>
      </w:rPr>
    </w:lvl>
    <w:lvl w:ilvl="1" w:tplc="984E5E2C" w:tentative="1">
      <w:start w:val="1"/>
      <w:numFmt w:val="lowerLetter"/>
      <w:lvlText w:val="%2."/>
      <w:lvlJc w:val="left"/>
      <w:pPr>
        <w:ind w:left="2434" w:hanging="360"/>
      </w:pPr>
    </w:lvl>
    <w:lvl w:ilvl="2" w:tplc="3000B6FE" w:tentative="1">
      <w:start w:val="1"/>
      <w:numFmt w:val="lowerRoman"/>
      <w:lvlText w:val="%3."/>
      <w:lvlJc w:val="right"/>
      <w:pPr>
        <w:ind w:left="3154" w:hanging="180"/>
      </w:pPr>
    </w:lvl>
    <w:lvl w:ilvl="3" w:tplc="CA00EC78" w:tentative="1">
      <w:start w:val="1"/>
      <w:numFmt w:val="decimal"/>
      <w:lvlText w:val="%4."/>
      <w:lvlJc w:val="left"/>
      <w:pPr>
        <w:ind w:left="3874" w:hanging="360"/>
      </w:pPr>
    </w:lvl>
    <w:lvl w:ilvl="4" w:tplc="5E4C1A56" w:tentative="1">
      <w:start w:val="1"/>
      <w:numFmt w:val="lowerLetter"/>
      <w:lvlText w:val="%5."/>
      <w:lvlJc w:val="left"/>
      <w:pPr>
        <w:ind w:left="4594" w:hanging="360"/>
      </w:pPr>
    </w:lvl>
    <w:lvl w:ilvl="5" w:tplc="DC32ECDA" w:tentative="1">
      <w:start w:val="1"/>
      <w:numFmt w:val="lowerRoman"/>
      <w:lvlText w:val="%6."/>
      <w:lvlJc w:val="right"/>
      <w:pPr>
        <w:ind w:left="5314" w:hanging="180"/>
      </w:pPr>
    </w:lvl>
    <w:lvl w:ilvl="6" w:tplc="E55CA830" w:tentative="1">
      <w:start w:val="1"/>
      <w:numFmt w:val="decimal"/>
      <w:lvlText w:val="%7."/>
      <w:lvlJc w:val="left"/>
      <w:pPr>
        <w:ind w:left="6034" w:hanging="360"/>
      </w:pPr>
    </w:lvl>
    <w:lvl w:ilvl="7" w:tplc="D65C423A" w:tentative="1">
      <w:start w:val="1"/>
      <w:numFmt w:val="lowerLetter"/>
      <w:lvlText w:val="%8."/>
      <w:lvlJc w:val="left"/>
      <w:pPr>
        <w:ind w:left="6754" w:hanging="360"/>
      </w:pPr>
    </w:lvl>
    <w:lvl w:ilvl="8" w:tplc="1ECAB58C"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lvlText w:val="Part %2"/>
      <w:lvlJc w:val="left"/>
      <w:pPr>
        <w:ind w:left="357" w:hanging="357"/>
      </w:pPr>
      <w:rPr>
        <w:rFonts w:hint="default"/>
        <w:color w:val="000000"/>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555"/>
        </w:tabs>
        <w:ind w:left="1555" w:hanging="561"/>
      </w:pPr>
      <w:rPr>
        <w:rFonts w:hint="default"/>
      </w:rPr>
    </w:lvl>
    <w:lvl w:ilvl="5">
      <w:start w:val="1"/>
      <w:numFmt w:val="lowerRoman"/>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B6C08058">
      <w:start w:val="1"/>
      <w:numFmt w:val="decimal"/>
      <w:lvlText w:val="Schedule %1"/>
      <w:lvlJc w:val="left"/>
      <w:pPr>
        <w:ind w:left="720" w:hanging="360"/>
      </w:pPr>
      <w:rPr>
        <w:rFonts w:hint="default"/>
        <w:color w:val="000000"/>
      </w:rPr>
    </w:lvl>
    <w:lvl w:ilvl="1" w:tplc="10D869CA" w:tentative="1">
      <w:start w:val="1"/>
      <w:numFmt w:val="lowerLetter"/>
      <w:lvlText w:val="%2."/>
      <w:lvlJc w:val="left"/>
      <w:pPr>
        <w:ind w:left="1440" w:hanging="360"/>
      </w:pPr>
    </w:lvl>
    <w:lvl w:ilvl="2" w:tplc="F0BAACB0" w:tentative="1">
      <w:start w:val="1"/>
      <w:numFmt w:val="lowerRoman"/>
      <w:lvlText w:val="%3."/>
      <w:lvlJc w:val="right"/>
      <w:pPr>
        <w:ind w:left="2160" w:hanging="180"/>
      </w:pPr>
    </w:lvl>
    <w:lvl w:ilvl="3" w:tplc="4978E7F0" w:tentative="1">
      <w:start w:val="1"/>
      <w:numFmt w:val="decimal"/>
      <w:lvlText w:val="%4."/>
      <w:lvlJc w:val="left"/>
      <w:pPr>
        <w:ind w:left="2880" w:hanging="360"/>
      </w:pPr>
    </w:lvl>
    <w:lvl w:ilvl="4" w:tplc="7D6C08F8" w:tentative="1">
      <w:start w:val="1"/>
      <w:numFmt w:val="lowerLetter"/>
      <w:lvlText w:val="%5."/>
      <w:lvlJc w:val="left"/>
      <w:pPr>
        <w:ind w:left="3600" w:hanging="360"/>
      </w:pPr>
    </w:lvl>
    <w:lvl w:ilvl="5" w:tplc="8466A610" w:tentative="1">
      <w:start w:val="1"/>
      <w:numFmt w:val="lowerRoman"/>
      <w:lvlText w:val="%6."/>
      <w:lvlJc w:val="right"/>
      <w:pPr>
        <w:ind w:left="4320" w:hanging="180"/>
      </w:pPr>
    </w:lvl>
    <w:lvl w:ilvl="6" w:tplc="6290B5FA" w:tentative="1">
      <w:start w:val="1"/>
      <w:numFmt w:val="decimal"/>
      <w:lvlText w:val="%7."/>
      <w:lvlJc w:val="left"/>
      <w:pPr>
        <w:ind w:left="5040" w:hanging="360"/>
      </w:pPr>
    </w:lvl>
    <w:lvl w:ilvl="7" w:tplc="E93AD4E2" w:tentative="1">
      <w:start w:val="1"/>
      <w:numFmt w:val="lowerLetter"/>
      <w:lvlText w:val="%8."/>
      <w:lvlJc w:val="left"/>
      <w:pPr>
        <w:ind w:left="5760" w:hanging="360"/>
      </w:pPr>
    </w:lvl>
    <w:lvl w:ilvl="8" w:tplc="9C003368"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853CC828">
      <w:start w:val="1"/>
      <w:numFmt w:val="decimal"/>
      <w:pStyle w:val="ScheduleHeading-Single"/>
      <w:lvlText w:val="Schedule"/>
      <w:lvlJc w:val="left"/>
      <w:pPr>
        <w:tabs>
          <w:tab w:val="num" w:pos="720"/>
        </w:tabs>
        <w:ind w:left="720" w:hanging="720"/>
      </w:pPr>
      <w:rPr>
        <w:color w:val="000000"/>
      </w:rPr>
    </w:lvl>
    <w:lvl w:ilvl="1" w:tplc="534CEEB6" w:tentative="1">
      <w:start w:val="1"/>
      <w:numFmt w:val="lowerLetter"/>
      <w:lvlText w:val="%2."/>
      <w:lvlJc w:val="left"/>
      <w:pPr>
        <w:tabs>
          <w:tab w:val="num" w:pos="1440"/>
        </w:tabs>
        <w:ind w:left="1440" w:hanging="360"/>
      </w:pPr>
    </w:lvl>
    <w:lvl w:ilvl="2" w:tplc="7D14044C" w:tentative="1">
      <w:start w:val="1"/>
      <w:numFmt w:val="lowerRoman"/>
      <w:lvlText w:val="%3."/>
      <w:lvlJc w:val="right"/>
      <w:pPr>
        <w:tabs>
          <w:tab w:val="num" w:pos="2160"/>
        </w:tabs>
        <w:ind w:left="2160" w:hanging="180"/>
      </w:pPr>
    </w:lvl>
    <w:lvl w:ilvl="3" w:tplc="3C1A0E8C" w:tentative="1">
      <w:start w:val="1"/>
      <w:numFmt w:val="decimal"/>
      <w:lvlText w:val="%4."/>
      <w:lvlJc w:val="left"/>
      <w:pPr>
        <w:tabs>
          <w:tab w:val="num" w:pos="2880"/>
        </w:tabs>
        <w:ind w:left="2880" w:hanging="360"/>
      </w:pPr>
    </w:lvl>
    <w:lvl w:ilvl="4" w:tplc="65ACDB16" w:tentative="1">
      <w:start w:val="1"/>
      <w:numFmt w:val="lowerLetter"/>
      <w:lvlText w:val="%5."/>
      <w:lvlJc w:val="left"/>
      <w:pPr>
        <w:tabs>
          <w:tab w:val="num" w:pos="3600"/>
        </w:tabs>
        <w:ind w:left="3600" w:hanging="360"/>
      </w:pPr>
    </w:lvl>
    <w:lvl w:ilvl="5" w:tplc="93A238B0" w:tentative="1">
      <w:start w:val="1"/>
      <w:numFmt w:val="lowerRoman"/>
      <w:lvlText w:val="%6."/>
      <w:lvlJc w:val="right"/>
      <w:pPr>
        <w:tabs>
          <w:tab w:val="num" w:pos="4320"/>
        </w:tabs>
        <w:ind w:left="4320" w:hanging="180"/>
      </w:pPr>
    </w:lvl>
    <w:lvl w:ilvl="6" w:tplc="2B826A04" w:tentative="1">
      <w:start w:val="1"/>
      <w:numFmt w:val="decimal"/>
      <w:lvlText w:val="%7."/>
      <w:lvlJc w:val="left"/>
      <w:pPr>
        <w:tabs>
          <w:tab w:val="num" w:pos="5040"/>
        </w:tabs>
        <w:ind w:left="5040" w:hanging="360"/>
      </w:pPr>
    </w:lvl>
    <w:lvl w:ilvl="7" w:tplc="8D4C2E7C" w:tentative="1">
      <w:start w:val="1"/>
      <w:numFmt w:val="lowerLetter"/>
      <w:lvlText w:val="%8."/>
      <w:lvlJc w:val="left"/>
      <w:pPr>
        <w:tabs>
          <w:tab w:val="num" w:pos="5760"/>
        </w:tabs>
        <w:ind w:left="5760" w:hanging="360"/>
      </w:pPr>
    </w:lvl>
    <w:lvl w:ilvl="8" w:tplc="A684AC58"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3D7E6A22">
      <w:start w:val="1"/>
      <w:numFmt w:val="decimal"/>
      <w:lvlText w:val="Part %1"/>
      <w:lvlJc w:val="left"/>
      <w:pPr>
        <w:ind w:left="720" w:hanging="360"/>
      </w:pPr>
      <w:rPr>
        <w:rFonts w:hint="default"/>
        <w:b/>
        <w:i w:val="0"/>
        <w:color w:val="000000"/>
      </w:rPr>
    </w:lvl>
    <w:lvl w:ilvl="1" w:tplc="1CB814DA" w:tentative="1">
      <w:start w:val="1"/>
      <w:numFmt w:val="lowerLetter"/>
      <w:lvlText w:val="%2."/>
      <w:lvlJc w:val="left"/>
      <w:pPr>
        <w:ind w:left="1440" w:hanging="360"/>
      </w:pPr>
    </w:lvl>
    <w:lvl w:ilvl="2" w:tplc="66CCF6C6" w:tentative="1">
      <w:start w:val="1"/>
      <w:numFmt w:val="lowerRoman"/>
      <w:lvlText w:val="%3."/>
      <w:lvlJc w:val="right"/>
      <w:pPr>
        <w:ind w:left="2160" w:hanging="180"/>
      </w:pPr>
    </w:lvl>
    <w:lvl w:ilvl="3" w:tplc="8D8EFD4A" w:tentative="1">
      <w:start w:val="1"/>
      <w:numFmt w:val="decimal"/>
      <w:lvlText w:val="%4."/>
      <w:lvlJc w:val="left"/>
      <w:pPr>
        <w:ind w:left="2880" w:hanging="360"/>
      </w:pPr>
    </w:lvl>
    <w:lvl w:ilvl="4" w:tplc="B09E4936" w:tentative="1">
      <w:start w:val="1"/>
      <w:numFmt w:val="lowerLetter"/>
      <w:lvlText w:val="%5."/>
      <w:lvlJc w:val="left"/>
      <w:pPr>
        <w:ind w:left="3600" w:hanging="360"/>
      </w:pPr>
    </w:lvl>
    <w:lvl w:ilvl="5" w:tplc="2A521408" w:tentative="1">
      <w:start w:val="1"/>
      <w:numFmt w:val="lowerRoman"/>
      <w:lvlText w:val="%6."/>
      <w:lvlJc w:val="right"/>
      <w:pPr>
        <w:ind w:left="4320" w:hanging="180"/>
      </w:pPr>
    </w:lvl>
    <w:lvl w:ilvl="6" w:tplc="EAB8599E" w:tentative="1">
      <w:start w:val="1"/>
      <w:numFmt w:val="decimal"/>
      <w:lvlText w:val="%7."/>
      <w:lvlJc w:val="left"/>
      <w:pPr>
        <w:ind w:left="5040" w:hanging="360"/>
      </w:pPr>
    </w:lvl>
    <w:lvl w:ilvl="7" w:tplc="900EED34" w:tentative="1">
      <w:start w:val="1"/>
      <w:numFmt w:val="lowerLetter"/>
      <w:lvlText w:val="%8."/>
      <w:lvlJc w:val="left"/>
      <w:pPr>
        <w:ind w:left="5760" w:hanging="360"/>
      </w:pPr>
    </w:lvl>
    <w:lvl w:ilvl="8" w:tplc="96E8A95E"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AA04E4FA">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FAB81CF8" w:tentative="1">
      <w:start w:val="1"/>
      <w:numFmt w:val="lowerLetter"/>
      <w:lvlText w:val="%2."/>
      <w:lvlJc w:val="left"/>
      <w:pPr>
        <w:ind w:left="1440" w:hanging="360"/>
      </w:pPr>
    </w:lvl>
    <w:lvl w:ilvl="2" w:tplc="DC7895EC" w:tentative="1">
      <w:start w:val="1"/>
      <w:numFmt w:val="lowerRoman"/>
      <w:lvlText w:val="%3."/>
      <w:lvlJc w:val="right"/>
      <w:pPr>
        <w:ind w:left="2160" w:hanging="180"/>
      </w:pPr>
    </w:lvl>
    <w:lvl w:ilvl="3" w:tplc="190E9570" w:tentative="1">
      <w:start w:val="1"/>
      <w:numFmt w:val="decimal"/>
      <w:lvlText w:val="%4."/>
      <w:lvlJc w:val="left"/>
      <w:pPr>
        <w:ind w:left="2880" w:hanging="360"/>
      </w:pPr>
    </w:lvl>
    <w:lvl w:ilvl="4" w:tplc="67AC89D2" w:tentative="1">
      <w:start w:val="1"/>
      <w:numFmt w:val="lowerLetter"/>
      <w:lvlText w:val="%5."/>
      <w:lvlJc w:val="left"/>
      <w:pPr>
        <w:ind w:left="3600" w:hanging="360"/>
      </w:pPr>
    </w:lvl>
    <w:lvl w:ilvl="5" w:tplc="D03297C8" w:tentative="1">
      <w:start w:val="1"/>
      <w:numFmt w:val="lowerRoman"/>
      <w:lvlText w:val="%6."/>
      <w:lvlJc w:val="right"/>
      <w:pPr>
        <w:ind w:left="4320" w:hanging="180"/>
      </w:pPr>
    </w:lvl>
    <w:lvl w:ilvl="6" w:tplc="3A88BCBC" w:tentative="1">
      <w:start w:val="1"/>
      <w:numFmt w:val="decimal"/>
      <w:lvlText w:val="%7."/>
      <w:lvlJc w:val="left"/>
      <w:pPr>
        <w:ind w:left="5040" w:hanging="360"/>
      </w:pPr>
    </w:lvl>
    <w:lvl w:ilvl="7" w:tplc="24A8A93A" w:tentative="1">
      <w:start w:val="1"/>
      <w:numFmt w:val="lowerLetter"/>
      <w:lvlText w:val="%8."/>
      <w:lvlJc w:val="left"/>
      <w:pPr>
        <w:ind w:left="5760" w:hanging="360"/>
      </w:pPr>
    </w:lvl>
    <w:lvl w:ilvl="8" w:tplc="C6843162"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684CBBA2">
      <w:start w:val="1"/>
      <w:numFmt w:val="decimal"/>
      <w:pStyle w:val="QuestionParagraph"/>
      <w:lvlText w:val="%1."/>
      <w:lvlJc w:val="left"/>
      <w:pPr>
        <w:ind w:left="720" w:hanging="360"/>
      </w:pPr>
      <w:rPr>
        <w:color w:val="000000"/>
      </w:rPr>
    </w:lvl>
    <w:lvl w:ilvl="1" w:tplc="D3B098F4" w:tentative="1">
      <w:start w:val="1"/>
      <w:numFmt w:val="lowerLetter"/>
      <w:lvlText w:val="%2."/>
      <w:lvlJc w:val="left"/>
      <w:pPr>
        <w:ind w:left="1440" w:hanging="360"/>
      </w:pPr>
    </w:lvl>
    <w:lvl w:ilvl="2" w:tplc="4DB6921A" w:tentative="1">
      <w:start w:val="1"/>
      <w:numFmt w:val="lowerRoman"/>
      <w:lvlText w:val="%3."/>
      <w:lvlJc w:val="right"/>
      <w:pPr>
        <w:ind w:left="2160" w:hanging="180"/>
      </w:pPr>
    </w:lvl>
    <w:lvl w:ilvl="3" w:tplc="53C2CB24" w:tentative="1">
      <w:start w:val="1"/>
      <w:numFmt w:val="decimal"/>
      <w:lvlText w:val="%4."/>
      <w:lvlJc w:val="left"/>
      <w:pPr>
        <w:ind w:left="2880" w:hanging="360"/>
      </w:pPr>
    </w:lvl>
    <w:lvl w:ilvl="4" w:tplc="AA0406AE" w:tentative="1">
      <w:start w:val="1"/>
      <w:numFmt w:val="lowerLetter"/>
      <w:lvlText w:val="%5."/>
      <w:lvlJc w:val="left"/>
      <w:pPr>
        <w:ind w:left="3600" w:hanging="360"/>
      </w:pPr>
    </w:lvl>
    <w:lvl w:ilvl="5" w:tplc="A01E0A8E" w:tentative="1">
      <w:start w:val="1"/>
      <w:numFmt w:val="lowerRoman"/>
      <w:lvlText w:val="%6."/>
      <w:lvlJc w:val="right"/>
      <w:pPr>
        <w:ind w:left="4320" w:hanging="180"/>
      </w:pPr>
    </w:lvl>
    <w:lvl w:ilvl="6" w:tplc="5BE0F7EA" w:tentative="1">
      <w:start w:val="1"/>
      <w:numFmt w:val="decimal"/>
      <w:lvlText w:val="%7."/>
      <w:lvlJc w:val="left"/>
      <w:pPr>
        <w:ind w:left="5040" w:hanging="360"/>
      </w:pPr>
    </w:lvl>
    <w:lvl w:ilvl="7" w:tplc="8BA23FC8" w:tentative="1">
      <w:start w:val="1"/>
      <w:numFmt w:val="lowerLetter"/>
      <w:lvlText w:val="%8."/>
      <w:lvlJc w:val="left"/>
      <w:pPr>
        <w:ind w:left="5760" w:hanging="360"/>
      </w:pPr>
    </w:lvl>
    <w:lvl w:ilvl="8" w:tplc="6958C888"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FD4CD300">
      <w:start w:val="1"/>
      <w:numFmt w:val="bullet"/>
      <w:pStyle w:val="subclause2Bullet2"/>
      <w:lvlText w:val=""/>
      <w:lvlJc w:val="left"/>
      <w:pPr>
        <w:ind w:left="2279" w:hanging="360"/>
      </w:pPr>
      <w:rPr>
        <w:rFonts w:ascii="Symbol" w:hAnsi="Symbol" w:hint="default"/>
        <w:color w:val="000000"/>
      </w:rPr>
    </w:lvl>
    <w:lvl w:ilvl="1" w:tplc="431E3376" w:tentative="1">
      <w:start w:val="1"/>
      <w:numFmt w:val="bullet"/>
      <w:lvlText w:val="o"/>
      <w:lvlJc w:val="left"/>
      <w:pPr>
        <w:ind w:left="2999" w:hanging="360"/>
      </w:pPr>
      <w:rPr>
        <w:rFonts w:ascii="Courier New" w:hAnsi="Courier New" w:cs="Courier New" w:hint="default"/>
      </w:rPr>
    </w:lvl>
    <w:lvl w:ilvl="2" w:tplc="8CD2EA02" w:tentative="1">
      <w:start w:val="1"/>
      <w:numFmt w:val="bullet"/>
      <w:lvlText w:val=""/>
      <w:lvlJc w:val="left"/>
      <w:pPr>
        <w:ind w:left="3719" w:hanging="360"/>
      </w:pPr>
      <w:rPr>
        <w:rFonts w:ascii="Wingdings" w:hAnsi="Wingdings" w:hint="default"/>
      </w:rPr>
    </w:lvl>
    <w:lvl w:ilvl="3" w:tplc="DD2A2DA0" w:tentative="1">
      <w:start w:val="1"/>
      <w:numFmt w:val="bullet"/>
      <w:lvlText w:val=""/>
      <w:lvlJc w:val="left"/>
      <w:pPr>
        <w:ind w:left="4439" w:hanging="360"/>
      </w:pPr>
      <w:rPr>
        <w:rFonts w:ascii="Symbol" w:hAnsi="Symbol" w:hint="default"/>
      </w:rPr>
    </w:lvl>
    <w:lvl w:ilvl="4" w:tplc="C6AC5C74" w:tentative="1">
      <w:start w:val="1"/>
      <w:numFmt w:val="bullet"/>
      <w:lvlText w:val="o"/>
      <w:lvlJc w:val="left"/>
      <w:pPr>
        <w:ind w:left="5159" w:hanging="360"/>
      </w:pPr>
      <w:rPr>
        <w:rFonts w:ascii="Courier New" w:hAnsi="Courier New" w:cs="Courier New" w:hint="default"/>
      </w:rPr>
    </w:lvl>
    <w:lvl w:ilvl="5" w:tplc="6BAACAA8" w:tentative="1">
      <w:start w:val="1"/>
      <w:numFmt w:val="bullet"/>
      <w:lvlText w:val=""/>
      <w:lvlJc w:val="left"/>
      <w:pPr>
        <w:ind w:left="5879" w:hanging="360"/>
      </w:pPr>
      <w:rPr>
        <w:rFonts w:ascii="Wingdings" w:hAnsi="Wingdings" w:hint="default"/>
      </w:rPr>
    </w:lvl>
    <w:lvl w:ilvl="6" w:tplc="3B662C3C" w:tentative="1">
      <w:start w:val="1"/>
      <w:numFmt w:val="bullet"/>
      <w:lvlText w:val=""/>
      <w:lvlJc w:val="left"/>
      <w:pPr>
        <w:ind w:left="6599" w:hanging="360"/>
      </w:pPr>
      <w:rPr>
        <w:rFonts w:ascii="Symbol" w:hAnsi="Symbol" w:hint="default"/>
      </w:rPr>
    </w:lvl>
    <w:lvl w:ilvl="7" w:tplc="710C4A08" w:tentative="1">
      <w:start w:val="1"/>
      <w:numFmt w:val="bullet"/>
      <w:lvlText w:val="o"/>
      <w:lvlJc w:val="left"/>
      <w:pPr>
        <w:ind w:left="7319" w:hanging="360"/>
      </w:pPr>
      <w:rPr>
        <w:rFonts w:ascii="Courier New" w:hAnsi="Courier New" w:cs="Courier New" w:hint="default"/>
      </w:rPr>
    </w:lvl>
    <w:lvl w:ilvl="8" w:tplc="8244D71A"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5600A1EC">
      <w:start w:val="1"/>
      <w:numFmt w:val="bullet"/>
      <w:pStyle w:val="BulletList2"/>
      <w:lvlText w:val=""/>
      <w:lvlJc w:val="left"/>
      <w:pPr>
        <w:tabs>
          <w:tab w:val="num" w:pos="1077"/>
        </w:tabs>
        <w:ind w:left="1077" w:hanging="357"/>
      </w:pPr>
      <w:rPr>
        <w:rFonts w:ascii="Symbol" w:hAnsi="Symbol" w:hint="default"/>
        <w:color w:val="000000"/>
      </w:rPr>
    </w:lvl>
    <w:lvl w:ilvl="1" w:tplc="55C4A44E" w:tentative="1">
      <w:start w:val="1"/>
      <w:numFmt w:val="bullet"/>
      <w:lvlText w:val="o"/>
      <w:lvlJc w:val="left"/>
      <w:pPr>
        <w:tabs>
          <w:tab w:val="num" w:pos="1440"/>
        </w:tabs>
        <w:ind w:left="1440" w:hanging="360"/>
      </w:pPr>
      <w:rPr>
        <w:rFonts w:ascii="Courier New" w:hAnsi="Courier New" w:cs="Courier New" w:hint="default"/>
      </w:rPr>
    </w:lvl>
    <w:lvl w:ilvl="2" w:tplc="DA0C8522" w:tentative="1">
      <w:start w:val="1"/>
      <w:numFmt w:val="bullet"/>
      <w:lvlText w:val=""/>
      <w:lvlJc w:val="left"/>
      <w:pPr>
        <w:tabs>
          <w:tab w:val="num" w:pos="2160"/>
        </w:tabs>
        <w:ind w:left="2160" w:hanging="360"/>
      </w:pPr>
      <w:rPr>
        <w:rFonts w:ascii="Wingdings" w:hAnsi="Wingdings" w:hint="default"/>
      </w:rPr>
    </w:lvl>
    <w:lvl w:ilvl="3" w:tplc="E7BE0268" w:tentative="1">
      <w:start w:val="1"/>
      <w:numFmt w:val="bullet"/>
      <w:lvlText w:val=""/>
      <w:lvlJc w:val="left"/>
      <w:pPr>
        <w:tabs>
          <w:tab w:val="num" w:pos="2880"/>
        </w:tabs>
        <w:ind w:left="2880" w:hanging="360"/>
      </w:pPr>
      <w:rPr>
        <w:rFonts w:ascii="Symbol" w:hAnsi="Symbol" w:hint="default"/>
      </w:rPr>
    </w:lvl>
    <w:lvl w:ilvl="4" w:tplc="9008FFEE" w:tentative="1">
      <w:start w:val="1"/>
      <w:numFmt w:val="bullet"/>
      <w:lvlText w:val="o"/>
      <w:lvlJc w:val="left"/>
      <w:pPr>
        <w:tabs>
          <w:tab w:val="num" w:pos="3600"/>
        </w:tabs>
        <w:ind w:left="3600" w:hanging="360"/>
      </w:pPr>
      <w:rPr>
        <w:rFonts w:ascii="Courier New" w:hAnsi="Courier New" w:cs="Courier New" w:hint="default"/>
      </w:rPr>
    </w:lvl>
    <w:lvl w:ilvl="5" w:tplc="191EE388" w:tentative="1">
      <w:start w:val="1"/>
      <w:numFmt w:val="bullet"/>
      <w:lvlText w:val=""/>
      <w:lvlJc w:val="left"/>
      <w:pPr>
        <w:tabs>
          <w:tab w:val="num" w:pos="4320"/>
        </w:tabs>
        <w:ind w:left="4320" w:hanging="360"/>
      </w:pPr>
      <w:rPr>
        <w:rFonts w:ascii="Wingdings" w:hAnsi="Wingdings" w:hint="default"/>
      </w:rPr>
    </w:lvl>
    <w:lvl w:ilvl="6" w:tplc="564AD380" w:tentative="1">
      <w:start w:val="1"/>
      <w:numFmt w:val="bullet"/>
      <w:lvlText w:val=""/>
      <w:lvlJc w:val="left"/>
      <w:pPr>
        <w:tabs>
          <w:tab w:val="num" w:pos="5040"/>
        </w:tabs>
        <w:ind w:left="5040" w:hanging="360"/>
      </w:pPr>
      <w:rPr>
        <w:rFonts w:ascii="Symbol" w:hAnsi="Symbol" w:hint="default"/>
      </w:rPr>
    </w:lvl>
    <w:lvl w:ilvl="7" w:tplc="8B1C3848" w:tentative="1">
      <w:start w:val="1"/>
      <w:numFmt w:val="bullet"/>
      <w:lvlText w:val="o"/>
      <w:lvlJc w:val="left"/>
      <w:pPr>
        <w:tabs>
          <w:tab w:val="num" w:pos="5760"/>
        </w:tabs>
        <w:ind w:left="5760" w:hanging="360"/>
      </w:pPr>
      <w:rPr>
        <w:rFonts w:ascii="Courier New" w:hAnsi="Courier New" w:cs="Courier New" w:hint="default"/>
      </w:rPr>
    </w:lvl>
    <w:lvl w:ilvl="8" w:tplc="7A78BD0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748C7822">
      <w:start w:val="1"/>
      <w:numFmt w:val="bullet"/>
      <w:pStyle w:val="Bullet4"/>
      <w:lvlText w:val=""/>
      <w:lvlJc w:val="left"/>
      <w:pPr>
        <w:tabs>
          <w:tab w:val="num" w:pos="2676"/>
        </w:tabs>
        <w:ind w:left="2676" w:hanging="357"/>
      </w:pPr>
      <w:rPr>
        <w:rFonts w:ascii="Symbol" w:hAnsi="Symbol" w:hint="default"/>
        <w:color w:val="000000"/>
      </w:rPr>
    </w:lvl>
    <w:lvl w:ilvl="1" w:tplc="41C6DF1E" w:tentative="1">
      <w:start w:val="1"/>
      <w:numFmt w:val="bullet"/>
      <w:lvlText w:val="o"/>
      <w:lvlJc w:val="left"/>
      <w:pPr>
        <w:tabs>
          <w:tab w:val="num" w:pos="1440"/>
        </w:tabs>
        <w:ind w:left="1440" w:hanging="360"/>
      </w:pPr>
      <w:rPr>
        <w:rFonts w:ascii="Courier New" w:hAnsi="Courier New" w:cs="Courier New" w:hint="default"/>
      </w:rPr>
    </w:lvl>
    <w:lvl w:ilvl="2" w:tplc="2E4C8DDE" w:tentative="1">
      <w:start w:val="1"/>
      <w:numFmt w:val="bullet"/>
      <w:lvlText w:val=""/>
      <w:lvlJc w:val="left"/>
      <w:pPr>
        <w:tabs>
          <w:tab w:val="num" w:pos="2160"/>
        </w:tabs>
        <w:ind w:left="2160" w:hanging="360"/>
      </w:pPr>
      <w:rPr>
        <w:rFonts w:ascii="Wingdings" w:hAnsi="Wingdings" w:hint="default"/>
      </w:rPr>
    </w:lvl>
    <w:lvl w:ilvl="3" w:tplc="0F548EF0" w:tentative="1">
      <w:start w:val="1"/>
      <w:numFmt w:val="bullet"/>
      <w:lvlText w:val=""/>
      <w:lvlJc w:val="left"/>
      <w:pPr>
        <w:tabs>
          <w:tab w:val="num" w:pos="2880"/>
        </w:tabs>
        <w:ind w:left="2880" w:hanging="360"/>
      </w:pPr>
      <w:rPr>
        <w:rFonts w:ascii="Symbol" w:hAnsi="Symbol" w:hint="default"/>
      </w:rPr>
    </w:lvl>
    <w:lvl w:ilvl="4" w:tplc="0374CD14" w:tentative="1">
      <w:start w:val="1"/>
      <w:numFmt w:val="bullet"/>
      <w:lvlText w:val="o"/>
      <w:lvlJc w:val="left"/>
      <w:pPr>
        <w:tabs>
          <w:tab w:val="num" w:pos="3600"/>
        </w:tabs>
        <w:ind w:left="3600" w:hanging="360"/>
      </w:pPr>
      <w:rPr>
        <w:rFonts w:ascii="Courier New" w:hAnsi="Courier New" w:cs="Courier New" w:hint="default"/>
      </w:rPr>
    </w:lvl>
    <w:lvl w:ilvl="5" w:tplc="0BBCA93A" w:tentative="1">
      <w:start w:val="1"/>
      <w:numFmt w:val="bullet"/>
      <w:lvlText w:val=""/>
      <w:lvlJc w:val="left"/>
      <w:pPr>
        <w:tabs>
          <w:tab w:val="num" w:pos="4320"/>
        </w:tabs>
        <w:ind w:left="4320" w:hanging="360"/>
      </w:pPr>
      <w:rPr>
        <w:rFonts w:ascii="Wingdings" w:hAnsi="Wingdings" w:hint="default"/>
      </w:rPr>
    </w:lvl>
    <w:lvl w:ilvl="6" w:tplc="B31CB21C" w:tentative="1">
      <w:start w:val="1"/>
      <w:numFmt w:val="bullet"/>
      <w:lvlText w:val=""/>
      <w:lvlJc w:val="left"/>
      <w:pPr>
        <w:tabs>
          <w:tab w:val="num" w:pos="5040"/>
        </w:tabs>
        <w:ind w:left="5040" w:hanging="360"/>
      </w:pPr>
      <w:rPr>
        <w:rFonts w:ascii="Symbol" w:hAnsi="Symbol" w:hint="default"/>
      </w:rPr>
    </w:lvl>
    <w:lvl w:ilvl="7" w:tplc="56EE828E" w:tentative="1">
      <w:start w:val="1"/>
      <w:numFmt w:val="bullet"/>
      <w:lvlText w:val="o"/>
      <w:lvlJc w:val="left"/>
      <w:pPr>
        <w:tabs>
          <w:tab w:val="num" w:pos="5760"/>
        </w:tabs>
        <w:ind w:left="5760" w:hanging="360"/>
      </w:pPr>
      <w:rPr>
        <w:rFonts w:ascii="Courier New" w:hAnsi="Courier New" w:cs="Courier New" w:hint="default"/>
      </w:rPr>
    </w:lvl>
    <w:lvl w:ilvl="8" w:tplc="E326D1A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DA8CC058">
      <w:start w:val="1"/>
      <w:numFmt w:val="bullet"/>
      <w:pStyle w:val="ClauseBullet2"/>
      <w:lvlText w:val=""/>
      <w:lvlJc w:val="left"/>
      <w:pPr>
        <w:ind w:left="1440" w:hanging="360"/>
      </w:pPr>
      <w:rPr>
        <w:rFonts w:ascii="Symbol" w:hAnsi="Symbol" w:hint="default"/>
        <w:color w:val="000000"/>
      </w:rPr>
    </w:lvl>
    <w:lvl w:ilvl="1" w:tplc="74FEB84A" w:tentative="1">
      <w:start w:val="1"/>
      <w:numFmt w:val="bullet"/>
      <w:lvlText w:val="o"/>
      <w:lvlJc w:val="left"/>
      <w:pPr>
        <w:ind w:left="2160" w:hanging="360"/>
      </w:pPr>
      <w:rPr>
        <w:rFonts w:ascii="Courier New" w:hAnsi="Courier New" w:cs="Courier New" w:hint="default"/>
      </w:rPr>
    </w:lvl>
    <w:lvl w:ilvl="2" w:tplc="8CF63FD4" w:tentative="1">
      <w:start w:val="1"/>
      <w:numFmt w:val="bullet"/>
      <w:lvlText w:val=""/>
      <w:lvlJc w:val="left"/>
      <w:pPr>
        <w:ind w:left="2880" w:hanging="360"/>
      </w:pPr>
      <w:rPr>
        <w:rFonts w:ascii="Wingdings" w:hAnsi="Wingdings" w:hint="default"/>
      </w:rPr>
    </w:lvl>
    <w:lvl w:ilvl="3" w:tplc="1A38367C" w:tentative="1">
      <w:start w:val="1"/>
      <w:numFmt w:val="bullet"/>
      <w:lvlText w:val=""/>
      <w:lvlJc w:val="left"/>
      <w:pPr>
        <w:ind w:left="3600" w:hanging="360"/>
      </w:pPr>
      <w:rPr>
        <w:rFonts w:ascii="Symbol" w:hAnsi="Symbol" w:hint="default"/>
      </w:rPr>
    </w:lvl>
    <w:lvl w:ilvl="4" w:tplc="960A6562" w:tentative="1">
      <w:start w:val="1"/>
      <w:numFmt w:val="bullet"/>
      <w:lvlText w:val="o"/>
      <w:lvlJc w:val="left"/>
      <w:pPr>
        <w:ind w:left="4320" w:hanging="360"/>
      </w:pPr>
      <w:rPr>
        <w:rFonts w:ascii="Courier New" w:hAnsi="Courier New" w:cs="Courier New" w:hint="default"/>
      </w:rPr>
    </w:lvl>
    <w:lvl w:ilvl="5" w:tplc="CAA0E81C" w:tentative="1">
      <w:start w:val="1"/>
      <w:numFmt w:val="bullet"/>
      <w:lvlText w:val=""/>
      <w:lvlJc w:val="left"/>
      <w:pPr>
        <w:ind w:left="5040" w:hanging="360"/>
      </w:pPr>
      <w:rPr>
        <w:rFonts w:ascii="Wingdings" w:hAnsi="Wingdings" w:hint="default"/>
      </w:rPr>
    </w:lvl>
    <w:lvl w:ilvl="6" w:tplc="0D8E71FA" w:tentative="1">
      <w:start w:val="1"/>
      <w:numFmt w:val="bullet"/>
      <w:lvlText w:val=""/>
      <w:lvlJc w:val="left"/>
      <w:pPr>
        <w:ind w:left="5760" w:hanging="360"/>
      </w:pPr>
      <w:rPr>
        <w:rFonts w:ascii="Symbol" w:hAnsi="Symbol" w:hint="default"/>
      </w:rPr>
    </w:lvl>
    <w:lvl w:ilvl="7" w:tplc="11C899BC" w:tentative="1">
      <w:start w:val="1"/>
      <w:numFmt w:val="bullet"/>
      <w:lvlText w:val="o"/>
      <w:lvlJc w:val="left"/>
      <w:pPr>
        <w:ind w:left="6480" w:hanging="360"/>
      </w:pPr>
      <w:rPr>
        <w:rFonts w:ascii="Courier New" w:hAnsi="Courier New" w:cs="Courier New" w:hint="default"/>
      </w:rPr>
    </w:lvl>
    <w:lvl w:ilvl="8" w:tplc="47F87656"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49B8765A">
      <w:start w:val="1"/>
      <w:numFmt w:val="bullet"/>
      <w:lvlText w:val=""/>
      <w:lvlJc w:val="left"/>
      <w:pPr>
        <w:ind w:left="720" w:hanging="360"/>
      </w:pPr>
      <w:rPr>
        <w:rFonts w:ascii="Symbol" w:hAnsi="Symbol" w:hint="default"/>
        <w:color w:val="000000"/>
      </w:rPr>
    </w:lvl>
    <w:lvl w:ilvl="1" w:tplc="D848E430" w:tentative="1">
      <w:start w:val="1"/>
      <w:numFmt w:val="bullet"/>
      <w:lvlText w:val="o"/>
      <w:lvlJc w:val="left"/>
      <w:pPr>
        <w:ind w:left="1440" w:hanging="360"/>
      </w:pPr>
      <w:rPr>
        <w:rFonts w:ascii="Courier New" w:hAnsi="Courier New" w:cs="Courier New" w:hint="default"/>
      </w:rPr>
    </w:lvl>
    <w:lvl w:ilvl="2" w:tplc="97CE35EC" w:tentative="1">
      <w:start w:val="1"/>
      <w:numFmt w:val="bullet"/>
      <w:lvlText w:val=""/>
      <w:lvlJc w:val="left"/>
      <w:pPr>
        <w:ind w:left="2160" w:hanging="360"/>
      </w:pPr>
      <w:rPr>
        <w:rFonts w:ascii="Wingdings" w:hAnsi="Wingdings" w:hint="default"/>
      </w:rPr>
    </w:lvl>
    <w:lvl w:ilvl="3" w:tplc="FDCE5BEC" w:tentative="1">
      <w:start w:val="1"/>
      <w:numFmt w:val="bullet"/>
      <w:lvlText w:val=""/>
      <w:lvlJc w:val="left"/>
      <w:pPr>
        <w:ind w:left="2880" w:hanging="360"/>
      </w:pPr>
      <w:rPr>
        <w:rFonts w:ascii="Symbol" w:hAnsi="Symbol" w:hint="default"/>
      </w:rPr>
    </w:lvl>
    <w:lvl w:ilvl="4" w:tplc="EFDC934C" w:tentative="1">
      <w:start w:val="1"/>
      <w:numFmt w:val="bullet"/>
      <w:lvlText w:val="o"/>
      <w:lvlJc w:val="left"/>
      <w:pPr>
        <w:ind w:left="3600" w:hanging="360"/>
      </w:pPr>
      <w:rPr>
        <w:rFonts w:ascii="Courier New" w:hAnsi="Courier New" w:cs="Courier New" w:hint="default"/>
      </w:rPr>
    </w:lvl>
    <w:lvl w:ilvl="5" w:tplc="4C3C1AF8" w:tentative="1">
      <w:start w:val="1"/>
      <w:numFmt w:val="bullet"/>
      <w:lvlText w:val=""/>
      <w:lvlJc w:val="left"/>
      <w:pPr>
        <w:ind w:left="4320" w:hanging="360"/>
      </w:pPr>
      <w:rPr>
        <w:rFonts w:ascii="Wingdings" w:hAnsi="Wingdings" w:hint="default"/>
      </w:rPr>
    </w:lvl>
    <w:lvl w:ilvl="6" w:tplc="09FECFEC" w:tentative="1">
      <w:start w:val="1"/>
      <w:numFmt w:val="bullet"/>
      <w:lvlText w:val=""/>
      <w:lvlJc w:val="left"/>
      <w:pPr>
        <w:ind w:left="5040" w:hanging="360"/>
      </w:pPr>
      <w:rPr>
        <w:rFonts w:ascii="Symbol" w:hAnsi="Symbol" w:hint="default"/>
      </w:rPr>
    </w:lvl>
    <w:lvl w:ilvl="7" w:tplc="4E06C3E2" w:tentative="1">
      <w:start w:val="1"/>
      <w:numFmt w:val="bullet"/>
      <w:lvlText w:val="o"/>
      <w:lvlJc w:val="left"/>
      <w:pPr>
        <w:ind w:left="5760" w:hanging="360"/>
      </w:pPr>
      <w:rPr>
        <w:rFonts w:ascii="Courier New" w:hAnsi="Courier New" w:cs="Courier New" w:hint="default"/>
      </w:rPr>
    </w:lvl>
    <w:lvl w:ilvl="8" w:tplc="6A1ADFAE"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8F24E9E2">
      <w:start w:val="1"/>
      <w:numFmt w:val="bullet"/>
      <w:pStyle w:val="subclause1Bullet2"/>
      <w:lvlText w:val=""/>
      <w:lvlJc w:val="left"/>
      <w:pPr>
        <w:ind w:left="1440" w:hanging="360"/>
      </w:pPr>
      <w:rPr>
        <w:rFonts w:ascii="Symbol" w:hAnsi="Symbol" w:hint="default"/>
        <w:color w:val="000000"/>
      </w:rPr>
    </w:lvl>
    <w:lvl w:ilvl="1" w:tplc="40904A74" w:tentative="1">
      <w:start w:val="1"/>
      <w:numFmt w:val="bullet"/>
      <w:lvlText w:val="o"/>
      <w:lvlJc w:val="left"/>
      <w:pPr>
        <w:ind w:left="2160" w:hanging="360"/>
      </w:pPr>
      <w:rPr>
        <w:rFonts w:ascii="Courier New" w:hAnsi="Courier New" w:cs="Courier New" w:hint="default"/>
      </w:rPr>
    </w:lvl>
    <w:lvl w:ilvl="2" w:tplc="D6865996" w:tentative="1">
      <w:start w:val="1"/>
      <w:numFmt w:val="bullet"/>
      <w:lvlText w:val=""/>
      <w:lvlJc w:val="left"/>
      <w:pPr>
        <w:ind w:left="2880" w:hanging="360"/>
      </w:pPr>
      <w:rPr>
        <w:rFonts w:ascii="Wingdings" w:hAnsi="Wingdings" w:hint="default"/>
      </w:rPr>
    </w:lvl>
    <w:lvl w:ilvl="3" w:tplc="2924D418" w:tentative="1">
      <w:start w:val="1"/>
      <w:numFmt w:val="bullet"/>
      <w:lvlText w:val=""/>
      <w:lvlJc w:val="left"/>
      <w:pPr>
        <w:ind w:left="3600" w:hanging="360"/>
      </w:pPr>
      <w:rPr>
        <w:rFonts w:ascii="Symbol" w:hAnsi="Symbol" w:hint="default"/>
      </w:rPr>
    </w:lvl>
    <w:lvl w:ilvl="4" w:tplc="2E9A4D56" w:tentative="1">
      <w:start w:val="1"/>
      <w:numFmt w:val="bullet"/>
      <w:lvlText w:val="o"/>
      <w:lvlJc w:val="left"/>
      <w:pPr>
        <w:ind w:left="4320" w:hanging="360"/>
      </w:pPr>
      <w:rPr>
        <w:rFonts w:ascii="Courier New" w:hAnsi="Courier New" w:cs="Courier New" w:hint="default"/>
      </w:rPr>
    </w:lvl>
    <w:lvl w:ilvl="5" w:tplc="2F96019C" w:tentative="1">
      <w:start w:val="1"/>
      <w:numFmt w:val="bullet"/>
      <w:lvlText w:val=""/>
      <w:lvlJc w:val="left"/>
      <w:pPr>
        <w:ind w:left="5040" w:hanging="360"/>
      </w:pPr>
      <w:rPr>
        <w:rFonts w:ascii="Wingdings" w:hAnsi="Wingdings" w:hint="default"/>
      </w:rPr>
    </w:lvl>
    <w:lvl w:ilvl="6" w:tplc="F8EE6592" w:tentative="1">
      <w:start w:val="1"/>
      <w:numFmt w:val="bullet"/>
      <w:lvlText w:val=""/>
      <w:lvlJc w:val="left"/>
      <w:pPr>
        <w:ind w:left="5760" w:hanging="360"/>
      </w:pPr>
      <w:rPr>
        <w:rFonts w:ascii="Symbol" w:hAnsi="Symbol" w:hint="default"/>
      </w:rPr>
    </w:lvl>
    <w:lvl w:ilvl="7" w:tplc="152474CC" w:tentative="1">
      <w:start w:val="1"/>
      <w:numFmt w:val="bullet"/>
      <w:lvlText w:val="o"/>
      <w:lvlJc w:val="left"/>
      <w:pPr>
        <w:ind w:left="6480" w:hanging="360"/>
      </w:pPr>
      <w:rPr>
        <w:rFonts w:ascii="Courier New" w:hAnsi="Courier New" w:cs="Courier New" w:hint="default"/>
      </w:rPr>
    </w:lvl>
    <w:lvl w:ilvl="8" w:tplc="59DCCE72"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EFD692B8">
      <w:start w:val="1"/>
      <w:numFmt w:val="bullet"/>
      <w:pStyle w:val="subclause3Bullet1"/>
      <w:lvlText w:val=""/>
      <w:lvlJc w:val="left"/>
      <w:pPr>
        <w:ind w:left="2988" w:hanging="360"/>
      </w:pPr>
      <w:rPr>
        <w:rFonts w:ascii="Symbol" w:hAnsi="Symbol" w:hint="default"/>
        <w:color w:val="000000"/>
      </w:rPr>
    </w:lvl>
    <w:lvl w:ilvl="1" w:tplc="4556502A" w:tentative="1">
      <w:start w:val="1"/>
      <w:numFmt w:val="bullet"/>
      <w:lvlText w:val="o"/>
      <w:lvlJc w:val="left"/>
      <w:pPr>
        <w:ind w:left="3708" w:hanging="360"/>
      </w:pPr>
      <w:rPr>
        <w:rFonts w:ascii="Courier New" w:hAnsi="Courier New" w:cs="Courier New" w:hint="default"/>
      </w:rPr>
    </w:lvl>
    <w:lvl w:ilvl="2" w:tplc="CA049E7C" w:tentative="1">
      <w:start w:val="1"/>
      <w:numFmt w:val="bullet"/>
      <w:lvlText w:val=""/>
      <w:lvlJc w:val="left"/>
      <w:pPr>
        <w:ind w:left="4428" w:hanging="360"/>
      </w:pPr>
      <w:rPr>
        <w:rFonts w:ascii="Wingdings" w:hAnsi="Wingdings" w:hint="default"/>
      </w:rPr>
    </w:lvl>
    <w:lvl w:ilvl="3" w:tplc="7D6E523A" w:tentative="1">
      <w:start w:val="1"/>
      <w:numFmt w:val="bullet"/>
      <w:lvlText w:val=""/>
      <w:lvlJc w:val="left"/>
      <w:pPr>
        <w:ind w:left="5148" w:hanging="360"/>
      </w:pPr>
      <w:rPr>
        <w:rFonts w:ascii="Symbol" w:hAnsi="Symbol" w:hint="default"/>
      </w:rPr>
    </w:lvl>
    <w:lvl w:ilvl="4" w:tplc="1158ABBA" w:tentative="1">
      <w:start w:val="1"/>
      <w:numFmt w:val="bullet"/>
      <w:lvlText w:val="o"/>
      <w:lvlJc w:val="left"/>
      <w:pPr>
        <w:ind w:left="5868" w:hanging="360"/>
      </w:pPr>
      <w:rPr>
        <w:rFonts w:ascii="Courier New" w:hAnsi="Courier New" w:cs="Courier New" w:hint="default"/>
      </w:rPr>
    </w:lvl>
    <w:lvl w:ilvl="5" w:tplc="98D818C4" w:tentative="1">
      <w:start w:val="1"/>
      <w:numFmt w:val="bullet"/>
      <w:lvlText w:val=""/>
      <w:lvlJc w:val="left"/>
      <w:pPr>
        <w:ind w:left="6588" w:hanging="360"/>
      </w:pPr>
      <w:rPr>
        <w:rFonts w:ascii="Wingdings" w:hAnsi="Wingdings" w:hint="default"/>
      </w:rPr>
    </w:lvl>
    <w:lvl w:ilvl="6" w:tplc="5BA2EE62" w:tentative="1">
      <w:start w:val="1"/>
      <w:numFmt w:val="bullet"/>
      <w:lvlText w:val=""/>
      <w:lvlJc w:val="left"/>
      <w:pPr>
        <w:ind w:left="7308" w:hanging="360"/>
      </w:pPr>
      <w:rPr>
        <w:rFonts w:ascii="Symbol" w:hAnsi="Symbol" w:hint="default"/>
      </w:rPr>
    </w:lvl>
    <w:lvl w:ilvl="7" w:tplc="DC0E9DCC" w:tentative="1">
      <w:start w:val="1"/>
      <w:numFmt w:val="bullet"/>
      <w:lvlText w:val="o"/>
      <w:lvlJc w:val="left"/>
      <w:pPr>
        <w:ind w:left="8028" w:hanging="360"/>
      </w:pPr>
      <w:rPr>
        <w:rFonts w:ascii="Courier New" w:hAnsi="Courier New" w:cs="Courier New" w:hint="default"/>
      </w:rPr>
    </w:lvl>
    <w:lvl w:ilvl="8" w:tplc="45A64C4C"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D3980E70">
      <w:start w:val="1"/>
      <w:numFmt w:val="bullet"/>
      <w:pStyle w:val="subclause2Bullet1"/>
      <w:lvlText w:val=""/>
      <w:lvlJc w:val="left"/>
      <w:pPr>
        <w:ind w:left="2279" w:hanging="360"/>
      </w:pPr>
      <w:rPr>
        <w:rFonts w:ascii="Symbol" w:hAnsi="Symbol" w:hint="default"/>
        <w:color w:val="000000"/>
      </w:rPr>
    </w:lvl>
    <w:lvl w:ilvl="1" w:tplc="45C4DB5C" w:tentative="1">
      <w:start w:val="1"/>
      <w:numFmt w:val="bullet"/>
      <w:lvlText w:val="o"/>
      <w:lvlJc w:val="left"/>
      <w:pPr>
        <w:ind w:left="2999" w:hanging="360"/>
      </w:pPr>
      <w:rPr>
        <w:rFonts w:ascii="Courier New" w:hAnsi="Courier New" w:cs="Courier New" w:hint="default"/>
      </w:rPr>
    </w:lvl>
    <w:lvl w:ilvl="2" w:tplc="0D76CFAE" w:tentative="1">
      <w:start w:val="1"/>
      <w:numFmt w:val="bullet"/>
      <w:lvlText w:val=""/>
      <w:lvlJc w:val="left"/>
      <w:pPr>
        <w:ind w:left="3719" w:hanging="360"/>
      </w:pPr>
      <w:rPr>
        <w:rFonts w:ascii="Wingdings" w:hAnsi="Wingdings" w:hint="default"/>
      </w:rPr>
    </w:lvl>
    <w:lvl w:ilvl="3" w:tplc="045230E2" w:tentative="1">
      <w:start w:val="1"/>
      <w:numFmt w:val="bullet"/>
      <w:lvlText w:val=""/>
      <w:lvlJc w:val="left"/>
      <w:pPr>
        <w:ind w:left="4439" w:hanging="360"/>
      </w:pPr>
      <w:rPr>
        <w:rFonts w:ascii="Symbol" w:hAnsi="Symbol" w:hint="default"/>
      </w:rPr>
    </w:lvl>
    <w:lvl w:ilvl="4" w:tplc="BEC29778" w:tentative="1">
      <w:start w:val="1"/>
      <w:numFmt w:val="bullet"/>
      <w:lvlText w:val="o"/>
      <w:lvlJc w:val="left"/>
      <w:pPr>
        <w:ind w:left="5159" w:hanging="360"/>
      </w:pPr>
      <w:rPr>
        <w:rFonts w:ascii="Courier New" w:hAnsi="Courier New" w:cs="Courier New" w:hint="default"/>
      </w:rPr>
    </w:lvl>
    <w:lvl w:ilvl="5" w:tplc="4E2415F4" w:tentative="1">
      <w:start w:val="1"/>
      <w:numFmt w:val="bullet"/>
      <w:lvlText w:val=""/>
      <w:lvlJc w:val="left"/>
      <w:pPr>
        <w:ind w:left="5879" w:hanging="360"/>
      </w:pPr>
      <w:rPr>
        <w:rFonts w:ascii="Wingdings" w:hAnsi="Wingdings" w:hint="default"/>
      </w:rPr>
    </w:lvl>
    <w:lvl w:ilvl="6" w:tplc="712AC91C" w:tentative="1">
      <w:start w:val="1"/>
      <w:numFmt w:val="bullet"/>
      <w:lvlText w:val=""/>
      <w:lvlJc w:val="left"/>
      <w:pPr>
        <w:ind w:left="6599" w:hanging="360"/>
      </w:pPr>
      <w:rPr>
        <w:rFonts w:ascii="Symbol" w:hAnsi="Symbol" w:hint="default"/>
      </w:rPr>
    </w:lvl>
    <w:lvl w:ilvl="7" w:tplc="DFA4140C" w:tentative="1">
      <w:start w:val="1"/>
      <w:numFmt w:val="bullet"/>
      <w:lvlText w:val="o"/>
      <w:lvlJc w:val="left"/>
      <w:pPr>
        <w:ind w:left="7319" w:hanging="360"/>
      </w:pPr>
      <w:rPr>
        <w:rFonts w:ascii="Courier New" w:hAnsi="Courier New" w:cs="Courier New" w:hint="default"/>
      </w:rPr>
    </w:lvl>
    <w:lvl w:ilvl="8" w:tplc="793EA5DC"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E1368C76">
      <w:start w:val="1"/>
      <w:numFmt w:val="bullet"/>
      <w:pStyle w:val="subclause1Bullet1"/>
      <w:lvlText w:val=""/>
      <w:lvlJc w:val="left"/>
      <w:pPr>
        <w:ind w:left="1440" w:hanging="360"/>
      </w:pPr>
      <w:rPr>
        <w:rFonts w:ascii="Symbol" w:hAnsi="Symbol" w:hint="default"/>
        <w:color w:val="000000"/>
      </w:rPr>
    </w:lvl>
    <w:lvl w:ilvl="1" w:tplc="EE224098" w:tentative="1">
      <w:start w:val="1"/>
      <w:numFmt w:val="bullet"/>
      <w:lvlText w:val="o"/>
      <w:lvlJc w:val="left"/>
      <w:pPr>
        <w:ind w:left="2160" w:hanging="360"/>
      </w:pPr>
      <w:rPr>
        <w:rFonts w:ascii="Courier New" w:hAnsi="Courier New" w:cs="Courier New" w:hint="default"/>
      </w:rPr>
    </w:lvl>
    <w:lvl w:ilvl="2" w:tplc="578052C0" w:tentative="1">
      <w:start w:val="1"/>
      <w:numFmt w:val="bullet"/>
      <w:lvlText w:val=""/>
      <w:lvlJc w:val="left"/>
      <w:pPr>
        <w:ind w:left="2880" w:hanging="360"/>
      </w:pPr>
      <w:rPr>
        <w:rFonts w:ascii="Wingdings" w:hAnsi="Wingdings" w:hint="default"/>
      </w:rPr>
    </w:lvl>
    <w:lvl w:ilvl="3" w:tplc="0D5AADDC" w:tentative="1">
      <w:start w:val="1"/>
      <w:numFmt w:val="bullet"/>
      <w:lvlText w:val=""/>
      <w:lvlJc w:val="left"/>
      <w:pPr>
        <w:ind w:left="3600" w:hanging="360"/>
      </w:pPr>
      <w:rPr>
        <w:rFonts w:ascii="Symbol" w:hAnsi="Symbol" w:hint="default"/>
      </w:rPr>
    </w:lvl>
    <w:lvl w:ilvl="4" w:tplc="7F4637AE" w:tentative="1">
      <w:start w:val="1"/>
      <w:numFmt w:val="bullet"/>
      <w:lvlText w:val="o"/>
      <w:lvlJc w:val="left"/>
      <w:pPr>
        <w:ind w:left="4320" w:hanging="360"/>
      </w:pPr>
      <w:rPr>
        <w:rFonts w:ascii="Courier New" w:hAnsi="Courier New" w:cs="Courier New" w:hint="default"/>
      </w:rPr>
    </w:lvl>
    <w:lvl w:ilvl="5" w:tplc="6392708E" w:tentative="1">
      <w:start w:val="1"/>
      <w:numFmt w:val="bullet"/>
      <w:lvlText w:val=""/>
      <w:lvlJc w:val="left"/>
      <w:pPr>
        <w:ind w:left="5040" w:hanging="360"/>
      </w:pPr>
      <w:rPr>
        <w:rFonts w:ascii="Wingdings" w:hAnsi="Wingdings" w:hint="default"/>
      </w:rPr>
    </w:lvl>
    <w:lvl w:ilvl="6" w:tplc="75EE87E4" w:tentative="1">
      <w:start w:val="1"/>
      <w:numFmt w:val="bullet"/>
      <w:lvlText w:val=""/>
      <w:lvlJc w:val="left"/>
      <w:pPr>
        <w:ind w:left="5760" w:hanging="360"/>
      </w:pPr>
      <w:rPr>
        <w:rFonts w:ascii="Symbol" w:hAnsi="Symbol" w:hint="default"/>
      </w:rPr>
    </w:lvl>
    <w:lvl w:ilvl="7" w:tplc="DCD8CA94" w:tentative="1">
      <w:start w:val="1"/>
      <w:numFmt w:val="bullet"/>
      <w:lvlText w:val="o"/>
      <w:lvlJc w:val="left"/>
      <w:pPr>
        <w:ind w:left="6480" w:hanging="360"/>
      </w:pPr>
      <w:rPr>
        <w:rFonts w:ascii="Courier New" w:hAnsi="Courier New" w:cs="Courier New" w:hint="default"/>
      </w:rPr>
    </w:lvl>
    <w:lvl w:ilvl="8" w:tplc="09F8AD08"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B49C75A0">
      <w:start w:val="1"/>
      <w:numFmt w:val="decimal"/>
      <w:pStyle w:val="LongQuestionPara"/>
      <w:lvlText w:val="%1."/>
      <w:lvlJc w:val="left"/>
      <w:pPr>
        <w:ind w:left="360" w:hanging="360"/>
      </w:pPr>
      <w:rPr>
        <w:rFonts w:hint="default"/>
        <w:b/>
        <w:i w:val="0"/>
        <w:color w:val="000000"/>
        <w:sz w:val="24"/>
      </w:rPr>
    </w:lvl>
    <w:lvl w:ilvl="1" w:tplc="D80617C0" w:tentative="1">
      <w:start w:val="1"/>
      <w:numFmt w:val="lowerLetter"/>
      <w:lvlText w:val="%2."/>
      <w:lvlJc w:val="left"/>
      <w:pPr>
        <w:ind w:left="1440" w:hanging="360"/>
      </w:pPr>
    </w:lvl>
    <w:lvl w:ilvl="2" w:tplc="6914B2E2" w:tentative="1">
      <w:start w:val="1"/>
      <w:numFmt w:val="lowerRoman"/>
      <w:lvlText w:val="%3."/>
      <w:lvlJc w:val="right"/>
      <w:pPr>
        <w:ind w:left="2160" w:hanging="180"/>
      </w:pPr>
    </w:lvl>
    <w:lvl w:ilvl="3" w:tplc="27A681C2" w:tentative="1">
      <w:start w:val="1"/>
      <w:numFmt w:val="decimal"/>
      <w:lvlText w:val="%4."/>
      <w:lvlJc w:val="left"/>
      <w:pPr>
        <w:ind w:left="2880" w:hanging="360"/>
      </w:pPr>
    </w:lvl>
    <w:lvl w:ilvl="4" w:tplc="57EEE1B8" w:tentative="1">
      <w:start w:val="1"/>
      <w:numFmt w:val="lowerLetter"/>
      <w:lvlText w:val="%5."/>
      <w:lvlJc w:val="left"/>
      <w:pPr>
        <w:ind w:left="3600" w:hanging="360"/>
      </w:pPr>
    </w:lvl>
    <w:lvl w:ilvl="5" w:tplc="E7C02DA6" w:tentative="1">
      <w:start w:val="1"/>
      <w:numFmt w:val="lowerRoman"/>
      <w:lvlText w:val="%6."/>
      <w:lvlJc w:val="right"/>
      <w:pPr>
        <w:ind w:left="4320" w:hanging="180"/>
      </w:pPr>
    </w:lvl>
    <w:lvl w:ilvl="6" w:tplc="BED0BC9A" w:tentative="1">
      <w:start w:val="1"/>
      <w:numFmt w:val="decimal"/>
      <w:lvlText w:val="%7."/>
      <w:lvlJc w:val="left"/>
      <w:pPr>
        <w:ind w:left="5040" w:hanging="360"/>
      </w:pPr>
    </w:lvl>
    <w:lvl w:ilvl="7" w:tplc="04300110" w:tentative="1">
      <w:start w:val="1"/>
      <w:numFmt w:val="lowerLetter"/>
      <w:lvlText w:val="%8."/>
      <w:lvlJc w:val="left"/>
      <w:pPr>
        <w:ind w:left="5760" w:hanging="360"/>
      </w:pPr>
    </w:lvl>
    <w:lvl w:ilvl="8" w:tplc="073E2EEA"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AAC85742">
      <w:start w:val="1"/>
      <w:numFmt w:val="lowerLetter"/>
      <w:lvlText w:val="(%1)"/>
      <w:lvlJc w:val="left"/>
      <w:pPr>
        <w:ind w:left="1440" w:hanging="360"/>
      </w:pPr>
      <w:rPr>
        <w:rFonts w:hint="default"/>
        <w:color w:val="000000"/>
      </w:rPr>
    </w:lvl>
    <w:lvl w:ilvl="1" w:tplc="10B41226" w:tentative="1">
      <w:start w:val="1"/>
      <w:numFmt w:val="lowerLetter"/>
      <w:lvlText w:val="%2."/>
      <w:lvlJc w:val="left"/>
      <w:pPr>
        <w:ind w:left="2160" w:hanging="360"/>
      </w:pPr>
    </w:lvl>
    <w:lvl w:ilvl="2" w:tplc="79320ADA" w:tentative="1">
      <w:start w:val="1"/>
      <w:numFmt w:val="lowerRoman"/>
      <w:lvlText w:val="%3."/>
      <w:lvlJc w:val="right"/>
      <w:pPr>
        <w:ind w:left="2880" w:hanging="180"/>
      </w:pPr>
    </w:lvl>
    <w:lvl w:ilvl="3" w:tplc="91CA7F1E" w:tentative="1">
      <w:start w:val="1"/>
      <w:numFmt w:val="decimal"/>
      <w:lvlText w:val="%4."/>
      <w:lvlJc w:val="left"/>
      <w:pPr>
        <w:ind w:left="3600" w:hanging="360"/>
      </w:pPr>
    </w:lvl>
    <w:lvl w:ilvl="4" w:tplc="16BA44BE" w:tentative="1">
      <w:start w:val="1"/>
      <w:numFmt w:val="lowerLetter"/>
      <w:lvlText w:val="%5."/>
      <w:lvlJc w:val="left"/>
      <w:pPr>
        <w:ind w:left="4320" w:hanging="360"/>
      </w:pPr>
    </w:lvl>
    <w:lvl w:ilvl="5" w:tplc="B8DA2920" w:tentative="1">
      <w:start w:val="1"/>
      <w:numFmt w:val="lowerRoman"/>
      <w:lvlText w:val="%6."/>
      <w:lvlJc w:val="right"/>
      <w:pPr>
        <w:ind w:left="5040" w:hanging="180"/>
      </w:pPr>
    </w:lvl>
    <w:lvl w:ilvl="6" w:tplc="3D147356" w:tentative="1">
      <w:start w:val="1"/>
      <w:numFmt w:val="decimal"/>
      <w:lvlText w:val="%7."/>
      <w:lvlJc w:val="left"/>
      <w:pPr>
        <w:ind w:left="5760" w:hanging="360"/>
      </w:pPr>
    </w:lvl>
    <w:lvl w:ilvl="7" w:tplc="20C6C29E" w:tentative="1">
      <w:start w:val="1"/>
      <w:numFmt w:val="lowerLetter"/>
      <w:lvlText w:val="%8."/>
      <w:lvlJc w:val="left"/>
      <w:pPr>
        <w:ind w:left="6480" w:hanging="360"/>
      </w:pPr>
    </w:lvl>
    <w:lvl w:ilvl="8" w:tplc="E3DC2E1E"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17F22300">
      <w:start w:val="1"/>
      <w:numFmt w:val="bullet"/>
      <w:pStyle w:val="ClauseBullet1"/>
      <w:lvlText w:val=""/>
      <w:lvlJc w:val="left"/>
      <w:pPr>
        <w:ind w:left="1080" w:hanging="360"/>
      </w:pPr>
      <w:rPr>
        <w:rFonts w:ascii="Symbol" w:hAnsi="Symbol" w:hint="default"/>
        <w:color w:val="000000"/>
      </w:rPr>
    </w:lvl>
    <w:lvl w:ilvl="1" w:tplc="FFCCD910" w:tentative="1">
      <w:start w:val="1"/>
      <w:numFmt w:val="bullet"/>
      <w:lvlText w:val="o"/>
      <w:lvlJc w:val="left"/>
      <w:pPr>
        <w:ind w:left="1800" w:hanging="360"/>
      </w:pPr>
      <w:rPr>
        <w:rFonts w:ascii="Courier New" w:hAnsi="Courier New" w:cs="Courier New" w:hint="default"/>
      </w:rPr>
    </w:lvl>
    <w:lvl w:ilvl="2" w:tplc="C422ED82" w:tentative="1">
      <w:start w:val="1"/>
      <w:numFmt w:val="bullet"/>
      <w:lvlText w:val=""/>
      <w:lvlJc w:val="left"/>
      <w:pPr>
        <w:ind w:left="2520" w:hanging="360"/>
      </w:pPr>
      <w:rPr>
        <w:rFonts w:ascii="Wingdings" w:hAnsi="Wingdings" w:hint="default"/>
      </w:rPr>
    </w:lvl>
    <w:lvl w:ilvl="3" w:tplc="5C4C2D40" w:tentative="1">
      <w:start w:val="1"/>
      <w:numFmt w:val="bullet"/>
      <w:lvlText w:val=""/>
      <w:lvlJc w:val="left"/>
      <w:pPr>
        <w:ind w:left="3240" w:hanging="360"/>
      </w:pPr>
      <w:rPr>
        <w:rFonts w:ascii="Symbol" w:hAnsi="Symbol" w:hint="default"/>
      </w:rPr>
    </w:lvl>
    <w:lvl w:ilvl="4" w:tplc="41640860" w:tentative="1">
      <w:start w:val="1"/>
      <w:numFmt w:val="bullet"/>
      <w:lvlText w:val="o"/>
      <w:lvlJc w:val="left"/>
      <w:pPr>
        <w:ind w:left="3960" w:hanging="360"/>
      </w:pPr>
      <w:rPr>
        <w:rFonts w:ascii="Courier New" w:hAnsi="Courier New" w:cs="Courier New" w:hint="default"/>
      </w:rPr>
    </w:lvl>
    <w:lvl w:ilvl="5" w:tplc="96FE17D2" w:tentative="1">
      <w:start w:val="1"/>
      <w:numFmt w:val="bullet"/>
      <w:lvlText w:val=""/>
      <w:lvlJc w:val="left"/>
      <w:pPr>
        <w:ind w:left="4680" w:hanging="360"/>
      </w:pPr>
      <w:rPr>
        <w:rFonts w:ascii="Wingdings" w:hAnsi="Wingdings" w:hint="default"/>
      </w:rPr>
    </w:lvl>
    <w:lvl w:ilvl="6" w:tplc="1D06BD76" w:tentative="1">
      <w:start w:val="1"/>
      <w:numFmt w:val="bullet"/>
      <w:lvlText w:val=""/>
      <w:lvlJc w:val="left"/>
      <w:pPr>
        <w:ind w:left="5400" w:hanging="360"/>
      </w:pPr>
      <w:rPr>
        <w:rFonts w:ascii="Symbol" w:hAnsi="Symbol" w:hint="default"/>
      </w:rPr>
    </w:lvl>
    <w:lvl w:ilvl="7" w:tplc="C8DA02B6" w:tentative="1">
      <w:start w:val="1"/>
      <w:numFmt w:val="bullet"/>
      <w:lvlText w:val="o"/>
      <w:lvlJc w:val="left"/>
      <w:pPr>
        <w:ind w:left="6120" w:hanging="360"/>
      </w:pPr>
      <w:rPr>
        <w:rFonts w:ascii="Courier New" w:hAnsi="Courier New" w:cs="Courier New" w:hint="default"/>
      </w:rPr>
    </w:lvl>
    <w:lvl w:ilvl="8" w:tplc="7D8CFED6"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B9EE57DC">
      <w:start w:val="1"/>
      <w:numFmt w:val="bullet"/>
      <w:pStyle w:val="subclause3Bullet2"/>
      <w:lvlText w:val=""/>
      <w:lvlJc w:val="left"/>
      <w:pPr>
        <w:ind w:left="3748" w:hanging="360"/>
      </w:pPr>
      <w:rPr>
        <w:rFonts w:ascii="Symbol" w:hAnsi="Symbol" w:hint="default"/>
        <w:color w:val="000000"/>
      </w:rPr>
    </w:lvl>
    <w:lvl w:ilvl="1" w:tplc="0488435A" w:tentative="1">
      <w:start w:val="1"/>
      <w:numFmt w:val="bullet"/>
      <w:lvlText w:val="o"/>
      <w:lvlJc w:val="left"/>
      <w:pPr>
        <w:ind w:left="4468" w:hanging="360"/>
      </w:pPr>
      <w:rPr>
        <w:rFonts w:ascii="Courier New" w:hAnsi="Courier New" w:cs="Courier New" w:hint="default"/>
      </w:rPr>
    </w:lvl>
    <w:lvl w:ilvl="2" w:tplc="22C086B6" w:tentative="1">
      <w:start w:val="1"/>
      <w:numFmt w:val="bullet"/>
      <w:lvlText w:val=""/>
      <w:lvlJc w:val="left"/>
      <w:pPr>
        <w:ind w:left="5188" w:hanging="360"/>
      </w:pPr>
      <w:rPr>
        <w:rFonts w:ascii="Wingdings" w:hAnsi="Wingdings" w:hint="default"/>
      </w:rPr>
    </w:lvl>
    <w:lvl w:ilvl="3" w:tplc="9594E0C4" w:tentative="1">
      <w:start w:val="1"/>
      <w:numFmt w:val="bullet"/>
      <w:lvlText w:val=""/>
      <w:lvlJc w:val="left"/>
      <w:pPr>
        <w:ind w:left="5908" w:hanging="360"/>
      </w:pPr>
      <w:rPr>
        <w:rFonts w:ascii="Symbol" w:hAnsi="Symbol" w:hint="default"/>
      </w:rPr>
    </w:lvl>
    <w:lvl w:ilvl="4" w:tplc="6214EEAA" w:tentative="1">
      <w:start w:val="1"/>
      <w:numFmt w:val="bullet"/>
      <w:lvlText w:val="o"/>
      <w:lvlJc w:val="left"/>
      <w:pPr>
        <w:ind w:left="6628" w:hanging="360"/>
      </w:pPr>
      <w:rPr>
        <w:rFonts w:ascii="Courier New" w:hAnsi="Courier New" w:cs="Courier New" w:hint="default"/>
      </w:rPr>
    </w:lvl>
    <w:lvl w:ilvl="5" w:tplc="7C427914" w:tentative="1">
      <w:start w:val="1"/>
      <w:numFmt w:val="bullet"/>
      <w:lvlText w:val=""/>
      <w:lvlJc w:val="left"/>
      <w:pPr>
        <w:ind w:left="7348" w:hanging="360"/>
      </w:pPr>
      <w:rPr>
        <w:rFonts w:ascii="Wingdings" w:hAnsi="Wingdings" w:hint="default"/>
      </w:rPr>
    </w:lvl>
    <w:lvl w:ilvl="6" w:tplc="910CEF08" w:tentative="1">
      <w:start w:val="1"/>
      <w:numFmt w:val="bullet"/>
      <w:lvlText w:val=""/>
      <w:lvlJc w:val="left"/>
      <w:pPr>
        <w:ind w:left="8068" w:hanging="360"/>
      </w:pPr>
      <w:rPr>
        <w:rFonts w:ascii="Symbol" w:hAnsi="Symbol" w:hint="default"/>
      </w:rPr>
    </w:lvl>
    <w:lvl w:ilvl="7" w:tplc="B3041100" w:tentative="1">
      <w:start w:val="1"/>
      <w:numFmt w:val="bullet"/>
      <w:lvlText w:val="o"/>
      <w:lvlJc w:val="left"/>
      <w:pPr>
        <w:ind w:left="8788" w:hanging="360"/>
      </w:pPr>
      <w:rPr>
        <w:rFonts w:ascii="Courier New" w:hAnsi="Courier New" w:cs="Courier New" w:hint="default"/>
      </w:rPr>
    </w:lvl>
    <w:lvl w:ilvl="8" w:tplc="69BA9DD8"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41361D3E">
      <w:start w:val="1"/>
      <w:numFmt w:val="bullet"/>
      <w:pStyle w:val="BulletList1"/>
      <w:lvlText w:val="·"/>
      <w:lvlJc w:val="left"/>
      <w:pPr>
        <w:tabs>
          <w:tab w:val="num" w:pos="360"/>
        </w:tabs>
        <w:ind w:left="360" w:hanging="360"/>
      </w:pPr>
      <w:rPr>
        <w:rFonts w:ascii="Symbol" w:hAnsi="Symbol" w:hint="default"/>
        <w:color w:val="000000"/>
      </w:rPr>
    </w:lvl>
    <w:lvl w:ilvl="1" w:tplc="3A8A097A" w:tentative="1">
      <w:start w:val="1"/>
      <w:numFmt w:val="bullet"/>
      <w:lvlText w:val="·"/>
      <w:lvlJc w:val="left"/>
      <w:pPr>
        <w:tabs>
          <w:tab w:val="num" w:pos="1440"/>
        </w:tabs>
        <w:ind w:left="1440" w:hanging="360"/>
      </w:pPr>
      <w:rPr>
        <w:rFonts w:ascii="Symbol" w:hAnsi="Symbol" w:hint="default"/>
      </w:rPr>
    </w:lvl>
    <w:lvl w:ilvl="2" w:tplc="CAF6B420" w:tentative="1">
      <w:start w:val="1"/>
      <w:numFmt w:val="bullet"/>
      <w:lvlText w:val="·"/>
      <w:lvlJc w:val="left"/>
      <w:pPr>
        <w:tabs>
          <w:tab w:val="num" w:pos="2160"/>
        </w:tabs>
        <w:ind w:left="2160" w:hanging="360"/>
      </w:pPr>
      <w:rPr>
        <w:rFonts w:ascii="Symbol" w:hAnsi="Symbol" w:hint="default"/>
      </w:rPr>
    </w:lvl>
    <w:lvl w:ilvl="3" w:tplc="9EB6367C" w:tentative="1">
      <w:start w:val="1"/>
      <w:numFmt w:val="bullet"/>
      <w:lvlText w:val="·"/>
      <w:lvlJc w:val="left"/>
      <w:pPr>
        <w:tabs>
          <w:tab w:val="num" w:pos="2880"/>
        </w:tabs>
        <w:ind w:left="2880" w:hanging="360"/>
      </w:pPr>
      <w:rPr>
        <w:rFonts w:ascii="Symbol" w:hAnsi="Symbol" w:hint="default"/>
      </w:rPr>
    </w:lvl>
    <w:lvl w:ilvl="4" w:tplc="C3DA0402" w:tentative="1">
      <w:start w:val="1"/>
      <w:numFmt w:val="bullet"/>
      <w:lvlText w:val="o"/>
      <w:lvlJc w:val="left"/>
      <w:pPr>
        <w:tabs>
          <w:tab w:val="num" w:pos="3600"/>
        </w:tabs>
        <w:ind w:left="3600" w:hanging="360"/>
      </w:pPr>
      <w:rPr>
        <w:rFonts w:ascii="Courier New" w:hAnsi="Courier New" w:hint="default"/>
      </w:rPr>
    </w:lvl>
    <w:lvl w:ilvl="5" w:tplc="2EC223B6" w:tentative="1">
      <w:start w:val="1"/>
      <w:numFmt w:val="bullet"/>
      <w:lvlText w:val="§"/>
      <w:lvlJc w:val="left"/>
      <w:pPr>
        <w:tabs>
          <w:tab w:val="num" w:pos="4320"/>
        </w:tabs>
        <w:ind w:left="4320" w:hanging="360"/>
      </w:pPr>
      <w:rPr>
        <w:rFonts w:ascii="Wingdings" w:hAnsi="Wingdings" w:hint="default"/>
      </w:rPr>
    </w:lvl>
    <w:lvl w:ilvl="6" w:tplc="6CE89636" w:tentative="1">
      <w:start w:val="1"/>
      <w:numFmt w:val="bullet"/>
      <w:lvlText w:val="·"/>
      <w:lvlJc w:val="left"/>
      <w:pPr>
        <w:tabs>
          <w:tab w:val="num" w:pos="5040"/>
        </w:tabs>
        <w:ind w:left="5040" w:hanging="360"/>
      </w:pPr>
      <w:rPr>
        <w:rFonts w:ascii="Symbol" w:hAnsi="Symbol" w:hint="default"/>
      </w:rPr>
    </w:lvl>
    <w:lvl w:ilvl="7" w:tplc="3B8CBFB0" w:tentative="1">
      <w:start w:val="1"/>
      <w:numFmt w:val="bullet"/>
      <w:lvlText w:val="o"/>
      <w:lvlJc w:val="left"/>
      <w:pPr>
        <w:tabs>
          <w:tab w:val="num" w:pos="5760"/>
        </w:tabs>
        <w:ind w:left="5760" w:hanging="360"/>
      </w:pPr>
      <w:rPr>
        <w:rFonts w:ascii="Courier New" w:hAnsi="Courier New" w:hint="default"/>
      </w:rPr>
    </w:lvl>
    <w:lvl w:ilvl="8" w:tplc="6C4632E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1C6A13"/>
    <w:multiLevelType w:val="hybridMultilevel"/>
    <w:tmpl w:val="A80674E2"/>
    <w:lvl w:ilvl="0" w:tplc="DEBED1FE">
      <w:start w:val="1"/>
      <w:numFmt w:val="lowerRoman"/>
      <w:lvlText w:val="(%1)"/>
      <w:lvlJc w:val="left"/>
      <w:pPr>
        <w:ind w:left="1080" w:hanging="720"/>
      </w:pPr>
      <w:rPr>
        <w:color w:val="000000"/>
      </w:rPr>
    </w:lvl>
    <w:lvl w:ilvl="1" w:tplc="7A0C9C96">
      <w:start w:val="1"/>
      <w:numFmt w:val="lowerLetter"/>
      <w:lvlText w:val="%2."/>
      <w:lvlJc w:val="left"/>
      <w:pPr>
        <w:ind w:left="1440" w:hanging="360"/>
      </w:pPr>
    </w:lvl>
    <w:lvl w:ilvl="2" w:tplc="8D707158">
      <w:start w:val="1"/>
      <w:numFmt w:val="lowerRoman"/>
      <w:lvlText w:val="%3."/>
      <w:lvlJc w:val="right"/>
      <w:pPr>
        <w:ind w:left="2160" w:hanging="180"/>
      </w:pPr>
    </w:lvl>
    <w:lvl w:ilvl="3" w:tplc="CAEEBD9A">
      <w:start w:val="1"/>
      <w:numFmt w:val="decimal"/>
      <w:lvlText w:val="%4."/>
      <w:lvlJc w:val="left"/>
      <w:pPr>
        <w:ind w:left="2880" w:hanging="360"/>
      </w:pPr>
    </w:lvl>
    <w:lvl w:ilvl="4" w:tplc="308CD322">
      <w:start w:val="1"/>
      <w:numFmt w:val="lowerLetter"/>
      <w:lvlText w:val="%5."/>
      <w:lvlJc w:val="left"/>
      <w:pPr>
        <w:ind w:left="3600" w:hanging="360"/>
      </w:pPr>
    </w:lvl>
    <w:lvl w:ilvl="5" w:tplc="77CA139C">
      <w:start w:val="1"/>
      <w:numFmt w:val="lowerRoman"/>
      <w:lvlText w:val="%6."/>
      <w:lvlJc w:val="right"/>
      <w:pPr>
        <w:ind w:left="4320" w:hanging="180"/>
      </w:pPr>
    </w:lvl>
    <w:lvl w:ilvl="6" w:tplc="B664A4D0">
      <w:start w:val="1"/>
      <w:numFmt w:val="decimal"/>
      <w:lvlText w:val="%7."/>
      <w:lvlJc w:val="left"/>
      <w:pPr>
        <w:ind w:left="5040" w:hanging="360"/>
      </w:pPr>
    </w:lvl>
    <w:lvl w:ilvl="7" w:tplc="4FEC6BD0">
      <w:start w:val="1"/>
      <w:numFmt w:val="lowerLetter"/>
      <w:lvlText w:val="%8."/>
      <w:lvlJc w:val="left"/>
      <w:pPr>
        <w:ind w:left="5760" w:hanging="360"/>
      </w:pPr>
    </w:lvl>
    <w:lvl w:ilvl="8" w:tplc="826AA8C0">
      <w:start w:val="1"/>
      <w:numFmt w:val="lowerRoman"/>
      <w:lvlText w:val="%9."/>
      <w:lvlJc w:val="right"/>
      <w:pPr>
        <w:ind w:left="6480" w:hanging="180"/>
      </w:pPr>
    </w:lvl>
  </w:abstractNum>
  <w:abstractNum w:abstractNumId="40" w15:restartNumberingAfterBreak="0">
    <w:nsid w:val="7352696F"/>
    <w:multiLevelType w:val="hybridMultilevel"/>
    <w:tmpl w:val="B5844022"/>
    <w:lvl w:ilvl="0" w:tplc="F6282084">
      <w:numFmt w:val="bullet"/>
      <w:lvlText w:val="-"/>
      <w:lvlJc w:val="left"/>
      <w:pPr>
        <w:ind w:left="720" w:hanging="360"/>
      </w:pPr>
      <w:rPr>
        <w:rFonts w:ascii="Arial" w:eastAsia="Arial Unicode MS" w:hAnsi="Arial" w:cs="Arial" w:hint="default"/>
        <w:color w:val="000000"/>
      </w:rPr>
    </w:lvl>
    <w:lvl w:ilvl="1" w:tplc="EA1A7BA8" w:tentative="1">
      <w:start w:val="1"/>
      <w:numFmt w:val="bullet"/>
      <w:lvlText w:val="o"/>
      <w:lvlJc w:val="left"/>
      <w:pPr>
        <w:ind w:left="1440" w:hanging="360"/>
      </w:pPr>
      <w:rPr>
        <w:rFonts w:ascii="Courier New" w:hAnsi="Courier New" w:cs="Courier New" w:hint="default"/>
      </w:rPr>
    </w:lvl>
    <w:lvl w:ilvl="2" w:tplc="4490B90C" w:tentative="1">
      <w:start w:val="1"/>
      <w:numFmt w:val="bullet"/>
      <w:lvlText w:val=""/>
      <w:lvlJc w:val="left"/>
      <w:pPr>
        <w:ind w:left="2160" w:hanging="360"/>
      </w:pPr>
      <w:rPr>
        <w:rFonts w:ascii="Wingdings" w:hAnsi="Wingdings" w:hint="default"/>
      </w:rPr>
    </w:lvl>
    <w:lvl w:ilvl="3" w:tplc="AA1222AE" w:tentative="1">
      <w:start w:val="1"/>
      <w:numFmt w:val="bullet"/>
      <w:lvlText w:val=""/>
      <w:lvlJc w:val="left"/>
      <w:pPr>
        <w:ind w:left="2880" w:hanging="360"/>
      </w:pPr>
      <w:rPr>
        <w:rFonts w:ascii="Symbol" w:hAnsi="Symbol" w:hint="default"/>
      </w:rPr>
    </w:lvl>
    <w:lvl w:ilvl="4" w:tplc="E18AFAFC" w:tentative="1">
      <w:start w:val="1"/>
      <w:numFmt w:val="bullet"/>
      <w:lvlText w:val="o"/>
      <w:lvlJc w:val="left"/>
      <w:pPr>
        <w:ind w:left="3600" w:hanging="360"/>
      </w:pPr>
      <w:rPr>
        <w:rFonts w:ascii="Courier New" w:hAnsi="Courier New" w:cs="Courier New" w:hint="default"/>
      </w:rPr>
    </w:lvl>
    <w:lvl w:ilvl="5" w:tplc="1B8629B2" w:tentative="1">
      <w:start w:val="1"/>
      <w:numFmt w:val="bullet"/>
      <w:lvlText w:val=""/>
      <w:lvlJc w:val="left"/>
      <w:pPr>
        <w:ind w:left="4320" w:hanging="360"/>
      </w:pPr>
      <w:rPr>
        <w:rFonts w:ascii="Wingdings" w:hAnsi="Wingdings" w:hint="default"/>
      </w:rPr>
    </w:lvl>
    <w:lvl w:ilvl="6" w:tplc="D57EE83A" w:tentative="1">
      <w:start w:val="1"/>
      <w:numFmt w:val="bullet"/>
      <w:lvlText w:val=""/>
      <w:lvlJc w:val="left"/>
      <w:pPr>
        <w:ind w:left="5040" w:hanging="360"/>
      </w:pPr>
      <w:rPr>
        <w:rFonts w:ascii="Symbol" w:hAnsi="Symbol" w:hint="default"/>
      </w:rPr>
    </w:lvl>
    <w:lvl w:ilvl="7" w:tplc="88187072" w:tentative="1">
      <w:start w:val="1"/>
      <w:numFmt w:val="bullet"/>
      <w:lvlText w:val="o"/>
      <w:lvlJc w:val="left"/>
      <w:pPr>
        <w:ind w:left="5760" w:hanging="360"/>
      </w:pPr>
      <w:rPr>
        <w:rFonts w:ascii="Courier New" w:hAnsi="Courier New" w:cs="Courier New" w:hint="default"/>
      </w:rPr>
    </w:lvl>
    <w:lvl w:ilvl="8" w:tplc="67E650E8" w:tentative="1">
      <w:start w:val="1"/>
      <w:numFmt w:val="bullet"/>
      <w:lvlText w:val=""/>
      <w:lvlJc w:val="left"/>
      <w:pPr>
        <w:ind w:left="6480" w:hanging="360"/>
      </w:pPr>
      <w:rPr>
        <w:rFonts w:ascii="Wingdings" w:hAnsi="Wingdings" w:hint="default"/>
      </w:rPr>
    </w:lvl>
  </w:abstractNum>
  <w:abstractNum w:abstractNumId="4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3" w15:restartNumberingAfterBreak="0">
    <w:nsid w:val="78C31C79"/>
    <w:multiLevelType w:val="hybridMultilevel"/>
    <w:tmpl w:val="0BBA56BC"/>
    <w:lvl w:ilvl="0" w:tplc="12383912">
      <w:start w:val="1"/>
      <w:numFmt w:val="decimal"/>
      <w:lvlText w:val="%1."/>
      <w:lvlJc w:val="left"/>
      <w:pPr>
        <w:ind w:left="1440" w:hanging="360"/>
      </w:pPr>
      <w:rPr>
        <w:color w:val="000000"/>
      </w:rPr>
    </w:lvl>
    <w:lvl w:ilvl="1" w:tplc="B06CB072" w:tentative="1">
      <w:start w:val="1"/>
      <w:numFmt w:val="lowerLetter"/>
      <w:lvlText w:val="%2."/>
      <w:lvlJc w:val="left"/>
      <w:pPr>
        <w:ind w:left="2160" w:hanging="360"/>
      </w:pPr>
    </w:lvl>
    <w:lvl w:ilvl="2" w:tplc="89CE0D48" w:tentative="1">
      <w:start w:val="1"/>
      <w:numFmt w:val="lowerRoman"/>
      <w:lvlText w:val="%3."/>
      <w:lvlJc w:val="right"/>
      <w:pPr>
        <w:ind w:left="2880" w:hanging="180"/>
      </w:pPr>
    </w:lvl>
    <w:lvl w:ilvl="3" w:tplc="F376870C" w:tentative="1">
      <w:start w:val="1"/>
      <w:numFmt w:val="decimal"/>
      <w:lvlText w:val="%4."/>
      <w:lvlJc w:val="left"/>
      <w:pPr>
        <w:ind w:left="3600" w:hanging="360"/>
      </w:pPr>
    </w:lvl>
    <w:lvl w:ilvl="4" w:tplc="6598EFAA" w:tentative="1">
      <w:start w:val="1"/>
      <w:numFmt w:val="lowerLetter"/>
      <w:lvlText w:val="%5."/>
      <w:lvlJc w:val="left"/>
      <w:pPr>
        <w:ind w:left="4320" w:hanging="360"/>
      </w:pPr>
    </w:lvl>
    <w:lvl w:ilvl="5" w:tplc="DE20F15C" w:tentative="1">
      <w:start w:val="1"/>
      <w:numFmt w:val="lowerRoman"/>
      <w:lvlText w:val="%6."/>
      <w:lvlJc w:val="right"/>
      <w:pPr>
        <w:ind w:left="5040" w:hanging="180"/>
      </w:pPr>
    </w:lvl>
    <w:lvl w:ilvl="6" w:tplc="0986B99C" w:tentative="1">
      <w:start w:val="1"/>
      <w:numFmt w:val="decimal"/>
      <w:lvlText w:val="%7."/>
      <w:lvlJc w:val="left"/>
      <w:pPr>
        <w:ind w:left="5760" w:hanging="360"/>
      </w:pPr>
    </w:lvl>
    <w:lvl w:ilvl="7" w:tplc="3EA0CD42" w:tentative="1">
      <w:start w:val="1"/>
      <w:numFmt w:val="lowerLetter"/>
      <w:lvlText w:val="%8."/>
      <w:lvlJc w:val="left"/>
      <w:pPr>
        <w:ind w:left="6480" w:hanging="360"/>
      </w:pPr>
    </w:lvl>
    <w:lvl w:ilvl="8" w:tplc="E86C1D3E" w:tentative="1">
      <w:start w:val="1"/>
      <w:numFmt w:val="lowerRoman"/>
      <w:lvlText w:val="%9."/>
      <w:lvlJc w:val="right"/>
      <w:pPr>
        <w:ind w:left="7200" w:hanging="180"/>
      </w:pPr>
    </w:lvl>
  </w:abstractNum>
  <w:abstractNum w:abstractNumId="44" w15:restartNumberingAfterBreak="0">
    <w:nsid w:val="7DB5644F"/>
    <w:multiLevelType w:val="hybridMultilevel"/>
    <w:tmpl w:val="8BCC9C08"/>
    <w:lvl w:ilvl="0" w:tplc="506E181E">
      <w:start w:val="1"/>
      <w:numFmt w:val="bullet"/>
      <w:pStyle w:val="BulletList3"/>
      <w:lvlText w:val=""/>
      <w:lvlJc w:val="left"/>
      <w:pPr>
        <w:tabs>
          <w:tab w:val="num" w:pos="1945"/>
        </w:tabs>
        <w:ind w:left="1945" w:hanging="357"/>
      </w:pPr>
      <w:rPr>
        <w:rFonts w:ascii="Symbol" w:hAnsi="Symbol" w:hint="default"/>
        <w:color w:val="000000"/>
      </w:rPr>
    </w:lvl>
    <w:lvl w:ilvl="1" w:tplc="92F680D8" w:tentative="1">
      <w:start w:val="1"/>
      <w:numFmt w:val="bullet"/>
      <w:lvlText w:val="o"/>
      <w:lvlJc w:val="left"/>
      <w:pPr>
        <w:tabs>
          <w:tab w:val="num" w:pos="1440"/>
        </w:tabs>
        <w:ind w:left="1440" w:hanging="360"/>
      </w:pPr>
      <w:rPr>
        <w:rFonts w:ascii="Courier New" w:hAnsi="Courier New" w:cs="Courier New" w:hint="default"/>
      </w:rPr>
    </w:lvl>
    <w:lvl w:ilvl="2" w:tplc="75B2A83C" w:tentative="1">
      <w:start w:val="1"/>
      <w:numFmt w:val="bullet"/>
      <w:lvlText w:val=""/>
      <w:lvlJc w:val="left"/>
      <w:pPr>
        <w:tabs>
          <w:tab w:val="num" w:pos="2160"/>
        </w:tabs>
        <w:ind w:left="2160" w:hanging="360"/>
      </w:pPr>
      <w:rPr>
        <w:rFonts w:ascii="Wingdings" w:hAnsi="Wingdings" w:hint="default"/>
      </w:rPr>
    </w:lvl>
    <w:lvl w:ilvl="3" w:tplc="75581300" w:tentative="1">
      <w:start w:val="1"/>
      <w:numFmt w:val="bullet"/>
      <w:lvlText w:val=""/>
      <w:lvlJc w:val="left"/>
      <w:pPr>
        <w:tabs>
          <w:tab w:val="num" w:pos="2880"/>
        </w:tabs>
        <w:ind w:left="2880" w:hanging="360"/>
      </w:pPr>
      <w:rPr>
        <w:rFonts w:ascii="Symbol" w:hAnsi="Symbol" w:hint="default"/>
      </w:rPr>
    </w:lvl>
    <w:lvl w:ilvl="4" w:tplc="3A564302" w:tentative="1">
      <w:start w:val="1"/>
      <w:numFmt w:val="bullet"/>
      <w:lvlText w:val="o"/>
      <w:lvlJc w:val="left"/>
      <w:pPr>
        <w:tabs>
          <w:tab w:val="num" w:pos="3600"/>
        </w:tabs>
        <w:ind w:left="3600" w:hanging="360"/>
      </w:pPr>
      <w:rPr>
        <w:rFonts w:ascii="Courier New" w:hAnsi="Courier New" w:cs="Courier New" w:hint="default"/>
      </w:rPr>
    </w:lvl>
    <w:lvl w:ilvl="5" w:tplc="32822472" w:tentative="1">
      <w:start w:val="1"/>
      <w:numFmt w:val="bullet"/>
      <w:lvlText w:val=""/>
      <w:lvlJc w:val="left"/>
      <w:pPr>
        <w:tabs>
          <w:tab w:val="num" w:pos="4320"/>
        </w:tabs>
        <w:ind w:left="4320" w:hanging="360"/>
      </w:pPr>
      <w:rPr>
        <w:rFonts w:ascii="Wingdings" w:hAnsi="Wingdings" w:hint="default"/>
      </w:rPr>
    </w:lvl>
    <w:lvl w:ilvl="6" w:tplc="94D8A14A" w:tentative="1">
      <w:start w:val="1"/>
      <w:numFmt w:val="bullet"/>
      <w:lvlText w:val=""/>
      <w:lvlJc w:val="left"/>
      <w:pPr>
        <w:tabs>
          <w:tab w:val="num" w:pos="5040"/>
        </w:tabs>
        <w:ind w:left="5040" w:hanging="360"/>
      </w:pPr>
      <w:rPr>
        <w:rFonts w:ascii="Symbol" w:hAnsi="Symbol" w:hint="default"/>
      </w:rPr>
    </w:lvl>
    <w:lvl w:ilvl="7" w:tplc="436ACB08" w:tentative="1">
      <w:start w:val="1"/>
      <w:numFmt w:val="bullet"/>
      <w:lvlText w:val="o"/>
      <w:lvlJc w:val="left"/>
      <w:pPr>
        <w:tabs>
          <w:tab w:val="num" w:pos="5760"/>
        </w:tabs>
        <w:ind w:left="5760" w:hanging="360"/>
      </w:pPr>
      <w:rPr>
        <w:rFonts w:ascii="Courier New" w:hAnsi="Courier New" w:cs="Courier New" w:hint="default"/>
      </w:rPr>
    </w:lvl>
    <w:lvl w:ilvl="8" w:tplc="9440EDD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B56450"/>
    <w:multiLevelType w:val="multilevel"/>
    <w:tmpl w:val="B5EA651E"/>
    <w:lvl w:ilvl="0">
      <w:start w:val="1"/>
      <w:numFmt w:val="decimal"/>
      <w:lvlText w:val="Schedule %1"/>
      <w:lvlJc w:val="left"/>
      <w:pPr>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6"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7" w15:restartNumberingAfterBreak="0">
    <w:nsid w:val="7DB56452"/>
    <w:multiLevelType w:val="multilevel"/>
    <w:tmpl w:val="7DB56451"/>
    <w:numStyleLink w:val="ScheduleListStyle"/>
  </w:abstractNum>
  <w:abstractNum w:abstractNumId="48" w15:restartNumberingAfterBreak="0">
    <w:nsid w:val="7DB56453"/>
    <w:multiLevelType w:val="multilevel"/>
    <w:tmpl w:val="7DB56451"/>
    <w:numStyleLink w:val="ScheduleListStyle"/>
  </w:abstractNum>
  <w:abstractNum w:abstractNumId="49" w15:restartNumberingAfterBreak="0">
    <w:nsid w:val="7DB56454"/>
    <w:multiLevelType w:val="multilevel"/>
    <w:tmpl w:val="B5EA651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50" w15:restartNumberingAfterBreak="0">
    <w:nsid w:val="7DB56455"/>
    <w:multiLevelType w:val="multilevel"/>
    <w:tmpl w:val="7DB56455"/>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51" w15:restartNumberingAfterBreak="0">
    <w:nsid w:val="7DB56456"/>
    <w:multiLevelType w:val="multilevel"/>
    <w:tmpl w:val="7DB56455"/>
    <w:numStyleLink w:val="PartListStyle"/>
  </w:abstractNum>
  <w:abstractNum w:abstractNumId="52" w15:restartNumberingAfterBreak="0">
    <w:nsid w:val="7DB56457"/>
    <w:multiLevelType w:val="multilevel"/>
    <w:tmpl w:val="7DB56455"/>
    <w:numStyleLink w:val="PartListStyle"/>
  </w:abstractNum>
  <w:abstractNum w:abstractNumId="53" w15:restartNumberingAfterBreak="0">
    <w:nsid w:val="7DB56458"/>
    <w:multiLevelType w:val="multilevel"/>
    <w:tmpl w:val="B5EA651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54" w15:restartNumberingAfterBreak="0">
    <w:nsid w:val="7DB56459"/>
    <w:multiLevelType w:val="multilevel"/>
    <w:tmpl w:val="7DB56459"/>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55" w15:restartNumberingAfterBreak="0">
    <w:nsid w:val="7DB5645A"/>
    <w:multiLevelType w:val="multilevel"/>
    <w:tmpl w:val="7DB56459"/>
    <w:numStyleLink w:val="ClauseListStyle"/>
  </w:abstractNum>
  <w:abstractNum w:abstractNumId="56" w15:restartNumberingAfterBreak="0">
    <w:nsid w:val="7DB5645B"/>
    <w:multiLevelType w:val="multilevel"/>
    <w:tmpl w:val="7DB56459"/>
    <w:numStyleLink w:val="ClauseListStyle"/>
  </w:abstractNum>
  <w:num w:numId="1" w16cid:durableId="816799141">
    <w:abstractNumId w:val="36"/>
  </w:num>
  <w:num w:numId="2" w16cid:durableId="870802912">
    <w:abstractNumId w:val="37"/>
  </w:num>
  <w:num w:numId="3" w16cid:durableId="1568177695">
    <w:abstractNumId w:val="22"/>
  </w:num>
  <w:num w:numId="4" w16cid:durableId="690692655">
    <w:abstractNumId w:val="44"/>
  </w:num>
  <w:num w:numId="5" w16cid:durableId="422847837">
    <w:abstractNumId w:val="41"/>
  </w:num>
  <w:num w:numId="6" w16cid:durableId="2006936847">
    <w:abstractNumId w:val="16"/>
  </w:num>
  <w:num w:numId="7" w16cid:durableId="1803842993">
    <w:abstractNumId w:val="24"/>
  </w:num>
  <w:num w:numId="8" w16cid:durableId="1579946960">
    <w:abstractNumId w:val="42"/>
  </w:num>
  <w:num w:numId="9" w16cid:durableId="1685665619">
    <w:abstractNumId w:val="23"/>
  </w:num>
  <w:num w:numId="10" w16cid:durableId="1800489561">
    <w:abstractNumId w:val="20"/>
  </w:num>
  <w:num w:numId="11" w16cid:durableId="424233983">
    <w:abstractNumId w:val="32"/>
  </w:num>
  <w:num w:numId="12" w16cid:durableId="1244606717">
    <w:abstractNumId w:val="15"/>
  </w:num>
  <w:num w:numId="13" w16cid:durableId="296492041">
    <w:abstractNumId w:val="19"/>
  </w:num>
  <w:num w:numId="14" w16cid:durableId="1263688449">
    <w:abstractNumId w:val="18"/>
  </w:num>
  <w:num w:numId="15" w16cid:durableId="76024370">
    <w:abstractNumId w:val="31"/>
  </w:num>
  <w:num w:numId="16" w16cid:durableId="1577352421">
    <w:abstractNumId w:val="34"/>
  </w:num>
  <w:num w:numId="17" w16cid:durableId="1773282011">
    <w:abstractNumId w:val="25"/>
  </w:num>
  <w:num w:numId="18" w16cid:durableId="1405034462">
    <w:abstractNumId w:val="30"/>
  </w:num>
  <w:num w:numId="19" w16cid:durableId="1756244515">
    <w:abstractNumId w:val="28"/>
  </w:num>
  <w:num w:numId="20" w16cid:durableId="1115951970">
    <w:abstractNumId w:val="29"/>
  </w:num>
  <w:num w:numId="21" w16cid:durableId="904679154">
    <w:abstractNumId w:val="27"/>
  </w:num>
  <w:num w:numId="22" w16cid:durableId="1824467274">
    <w:abstractNumId w:val="21"/>
  </w:num>
  <w:num w:numId="23" w16cid:durableId="1586764392">
    <w:abstractNumId w:val="35"/>
  </w:num>
  <w:num w:numId="24" w16cid:durableId="1038165352">
    <w:abstractNumId w:val="11"/>
  </w:num>
  <w:num w:numId="25" w16cid:durableId="911768898">
    <w:abstractNumId w:val="33"/>
  </w:num>
  <w:num w:numId="26" w16cid:durableId="467363036">
    <w:abstractNumId w:val="9"/>
  </w:num>
  <w:num w:numId="27" w16cid:durableId="1222907165">
    <w:abstractNumId w:val="7"/>
  </w:num>
  <w:num w:numId="28" w16cid:durableId="2034577134">
    <w:abstractNumId w:val="6"/>
  </w:num>
  <w:num w:numId="29" w16cid:durableId="1384792277">
    <w:abstractNumId w:val="5"/>
  </w:num>
  <w:num w:numId="30" w16cid:durableId="1624340185">
    <w:abstractNumId w:val="4"/>
  </w:num>
  <w:num w:numId="31" w16cid:durableId="914516011">
    <w:abstractNumId w:val="8"/>
  </w:num>
  <w:num w:numId="32" w16cid:durableId="735396253">
    <w:abstractNumId w:val="3"/>
  </w:num>
  <w:num w:numId="33" w16cid:durableId="1774401718">
    <w:abstractNumId w:val="2"/>
  </w:num>
  <w:num w:numId="34" w16cid:durableId="367995235">
    <w:abstractNumId w:val="1"/>
  </w:num>
  <w:num w:numId="35" w16cid:durableId="2109344378">
    <w:abstractNumId w:val="0"/>
  </w:num>
  <w:num w:numId="36" w16cid:durableId="52588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2868726">
    <w:abstractNumId w:val="14"/>
  </w:num>
  <w:num w:numId="38" w16cid:durableId="607472899">
    <w:abstractNumId w:val="10"/>
  </w:num>
  <w:num w:numId="39" w16cid:durableId="1962490289">
    <w:abstractNumId w:val="38"/>
  </w:num>
  <w:num w:numId="40" w16cid:durableId="1592660272">
    <w:abstractNumId w:val="13"/>
  </w:num>
  <w:num w:numId="41" w16cid:durableId="1209684667">
    <w:abstractNumId w:val="43"/>
  </w:num>
  <w:num w:numId="42" w16cid:durableId="2086174274">
    <w:abstractNumId w:val="10"/>
  </w:num>
  <w:num w:numId="43" w16cid:durableId="723218518">
    <w:abstractNumId w:val="12"/>
  </w:num>
  <w:num w:numId="44" w16cid:durableId="1723476700">
    <w:abstractNumId w:val="17"/>
  </w:num>
  <w:num w:numId="45" w16cid:durableId="21110494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31631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70429435">
    <w:abstractNumId w:val="26"/>
  </w:num>
  <w:num w:numId="48" w16cid:durableId="1471551416">
    <w:abstractNumId w:val="40"/>
  </w:num>
  <w:num w:numId="49" w16cid:durableId="1489399829">
    <w:abstractNumId w:val="10"/>
  </w:num>
  <w:num w:numId="50" w16cid:durableId="481312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31031214">
    <w:abstractNumId w:val="45"/>
  </w:num>
  <w:num w:numId="52" w16cid:durableId="1113087893">
    <w:abstractNumId w:val="46"/>
  </w:num>
  <w:num w:numId="53" w16cid:durableId="1081366144">
    <w:abstractNumId w:val="47"/>
  </w:num>
  <w:num w:numId="54" w16cid:durableId="1043139673">
    <w:abstractNumId w:val="48"/>
  </w:num>
  <w:num w:numId="55" w16cid:durableId="446506468">
    <w:abstractNumId w:val="49"/>
  </w:num>
  <w:num w:numId="56" w16cid:durableId="333344429">
    <w:abstractNumId w:val="50"/>
  </w:num>
  <w:num w:numId="57" w16cid:durableId="485514870">
    <w:abstractNumId w:val="51"/>
  </w:num>
  <w:num w:numId="58" w16cid:durableId="1039209096">
    <w:abstractNumId w:val="52"/>
  </w:num>
  <w:num w:numId="59" w16cid:durableId="1985357137">
    <w:abstractNumId w:val="53"/>
  </w:num>
  <w:num w:numId="60" w16cid:durableId="1170870639">
    <w:abstractNumId w:val="54"/>
  </w:num>
  <w:num w:numId="61" w16cid:durableId="1617173713">
    <w:abstractNumId w:val="55"/>
  </w:num>
  <w:num w:numId="62" w16cid:durableId="881095905">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A221B3BE-D23D-4539-B608-B8644E1EC498}"/>
  </w:docVars>
  <w:rsids>
    <w:rsidRoot w:val="0073385C"/>
    <w:rsid w:val="006F786A"/>
    <w:rsid w:val="0073385C"/>
    <w:rsid w:val="0074408C"/>
    <w:rsid w:val="008A067F"/>
    <w:rsid w:val="00972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85BF"/>
  <w15:docId w15:val="{E8E8D748-D82F-4396-94A0-0F65C105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711BC0"/>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711BC0"/>
    <w:pPr>
      <w:keepNext/>
      <w:keepLines/>
      <w:numPr>
        <w:numId w:val="11"/>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11BC0"/>
    <w:pPr>
      <w:keepNext/>
      <w:keepLines/>
      <w:numPr>
        <w:ilvl w:val="1"/>
        <w:numId w:val="1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11BC0"/>
    <w:pPr>
      <w:keepNext/>
      <w:keepLines/>
      <w:numPr>
        <w:ilvl w:val="2"/>
        <w:numId w:val="11"/>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11BC0"/>
    <w:pPr>
      <w:keepNext/>
      <w:keepLines/>
      <w:numPr>
        <w:ilvl w:val="3"/>
        <w:numId w:val="1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11BC0"/>
    <w:pPr>
      <w:keepNext/>
      <w:keepLines/>
      <w:numPr>
        <w:ilvl w:val="4"/>
        <w:numId w:val="1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711BC0"/>
    <w:pPr>
      <w:keepNext/>
      <w:keepLines/>
      <w:numPr>
        <w:ilvl w:val="5"/>
        <w:numId w:val="11"/>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711BC0"/>
    <w:pPr>
      <w:keepNext/>
      <w:keepLines/>
      <w:numPr>
        <w:ilvl w:val="6"/>
        <w:numId w:val="11"/>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11BC0"/>
    <w:pPr>
      <w:keepNext/>
      <w:keepLines/>
      <w:numPr>
        <w:ilvl w:val="7"/>
        <w:numId w:val="11"/>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11BC0"/>
    <w:pPr>
      <w:keepNext/>
      <w:keepLines/>
      <w:numPr>
        <w:ilvl w:val="8"/>
        <w:numId w:val="11"/>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BC0"/>
    <w:rPr>
      <w:rFonts w:ascii="Tahoma" w:hAnsi="Tahoma" w:cs="Tahoma"/>
      <w:color w:val="000000"/>
      <w:sz w:val="16"/>
      <w:szCs w:val="16"/>
    </w:rPr>
  </w:style>
  <w:style w:type="paragraph" w:styleId="Header">
    <w:name w:val="header"/>
    <w:basedOn w:val="Normal"/>
    <w:link w:val="HeaderChar"/>
    <w:uiPriority w:val="99"/>
    <w:unhideWhenUsed/>
    <w:rsid w:val="00711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BC0"/>
    <w:rPr>
      <w:color w:val="000000"/>
    </w:rPr>
  </w:style>
  <w:style w:type="paragraph" w:styleId="Footer">
    <w:name w:val="footer"/>
    <w:basedOn w:val="Normal"/>
    <w:link w:val="FooterChar"/>
    <w:rsid w:val="00711BC0"/>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711BC0"/>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711BC0"/>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711BC0"/>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711BC0"/>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711BC0"/>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711BC0"/>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11BC0"/>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711BC0"/>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11BC0"/>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11BC0"/>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711BC0"/>
    <w:rPr>
      <w:color w:val="000000"/>
    </w:rPr>
  </w:style>
  <w:style w:type="paragraph" w:customStyle="1" w:styleId="DescriptiveHeading">
    <w:name w:val="DescriptiveHeading"/>
    <w:next w:val="Paragraph"/>
    <w:link w:val="DescriptiveHeadingChar"/>
    <w:rsid w:val="00711BC0"/>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711BC0"/>
    <w:rPr>
      <w:rFonts w:ascii="Arial" w:eastAsia="Arial Unicode MS" w:hAnsi="Arial" w:cs="Arial"/>
      <w:b/>
      <w:color w:val="000000"/>
      <w:lang w:val="en-US" w:eastAsia="en-US"/>
    </w:rPr>
  </w:style>
  <w:style w:type="paragraph" w:customStyle="1" w:styleId="Paragraph">
    <w:name w:val="Paragraph"/>
    <w:basedOn w:val="Normal"/>
    <w:link w:val="ParagraphChar"/>
    <w:qFormat/>
    <w:rsid w:val="00711BC0"/>
    <w:pPr>
      <w:spacing w:after="120" w:line="300" w:lineRule="atLeast"/>
      <w:jc w:val="both"/>
    </w:pPr>
    <w:rPr>
      <w:rFonts w:eastAsia="Arial Unicode MS"/>
      <w:szCs w:val="20"/>
      <w:lang w:eastAsia="en-US"/>
    </w:rPr>
  </w:style>
  <w:style w:type="table" w:styleId="TableGrid">
    <w:name w:val="Table Grid"/>
    <w:basedOn w:val="TableNormal"/>
    <w:rsid w:val="00711BC0"/>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efault">
    <w:name w:val="Intro Default"/>
    <w:basedOn w:val="Paragraph"/>
    <w:qFormat/>
    <w:rsid w:val="00711BC0"/>
  </w:style>
  <w:style w:type="paragraph" w:customStyle="1" w:styleId="DraftingnoteTitle">
    <w:name w:val="Draftingnote Title"/>
    <w:basedOn w:val="Normal"/>
    <w:rsid w:val="00711BC0"/>
    <w:pPr>
      <w:spacing w:after="120" w:line="300" w:lineRule="atLeast"/>
      <w:jc w:val="both"/>
    </w:pPr>
    <w:rPr>
      <w:rFonts w:eastAsia="Arial Unicode MS"/>
      <w:b/>
      <w:sz w:val="28"/>
      <w:szCs w:val="20"/>
      <w:lang w:eastAsia="en-US"/>
    </w:rPr>
  </w:style>
  <w:style w:type="paragraph" w:customStyle="1" w:styleId="DefinedTermPara">
    <w:name w:val="Defined Term Para"/>
    <w:basedOn w:val="Paragraph"/>
    <w:qFormat/>
    <w:rsid w:val="00711BC0"/>
    <w:pPr>
      <w:numPr>
        <w:numId w:val="39"/>
      </w:numPr>
    </w:pPr>
  </w:style>
  <w:style w:type="paragraph" w:customStyle="1" w:styleId="Schedule">
    <w:name w:val="Schedule"/>
    <w:qFormat/>
    <w:rsid w:val="00711BC0"/>
    <w:pPr>
      <w:numPr>
        <w:numId w:val="53"/>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711BC0"/>
    <w:rPr>
      <w:b/>
    </w:rPr>
  </w:style>
  <w:style w:type="paragraph" w:customStyle="1" w:styleId="IgnoredSpacing">
    <w:name w:val="Ignored Spacing"/>
    <w:link w:val="IgnoredSpacingChar"/>
    <w:rsid w:val="00711BC0"/>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711BC0"/>
    <w:rPr>
      <w:rFonts w:ascii="Arial" w:eastAsia="Arial Unicode MS" w:hAnsi="Arial" w:cs="Arial"/>
      <w:color w:val="000000"/>
      <w:sz w:val="24"/>
      <w:szCs w:val="24"/>
      <w:lang w:val="en-US" w:eastAsia="en-US"/>
    </w:rPr>
  </w:style>
  <w:style w:type="paragraph" w:customStyle="1" w:styleId="Background">
    <w:name w:val="Background"/>
    <w:aliases w:val="(A) Background"/>
    <w:basedOn w:val="Normal"/>
    <w:rsid w:val="00711BC0"/>
    <w:pPr>
      <w:numPr>
        <w:numId w:val="1"/>
      </w:numPr>
      <w:spacing w:before="120" w:after="120" w:line="300" w:lineRule="atLeast"/>
      <w:jc w:val="both"/>
    </w:pPr>
    <w:rPr>
      <w:rFonts w:eastAsia="Arial Unicode MS"/>
      <w:szCs w:val="20"/>
      <w:lang w:eastAsia="en-US"/>
    </w:rPr>
  </w:style>
  <w:style w:type="paragraph" w:customStyle="1" w:styleId="Part">
    <w:name w:val="Part"/>
    <w:basedOn w:val="Paragraph"/>
    <w:qFormat/>
    <w:rsid w:val="00711BC0"/>
    <w:pPr>
      <w:numPr>
        <w:numId w:val="57"/>
      </w:numPr>
      <w:spacing w:before="240" w:after="240"/>
      <w:jc w:val="left"/>
    </w:pPr>
    <w:rPr>
      <w:b/>
    </w:rPr>
  </w:style>
  <w:style w:type="paragraph" w:customStyle="1" w:styleId="Testimonium">
    <w:name w:val="Testimonium"/>
    <w:basedOn w:val="Paragraph"/>
    <w:qFormat/>
    <w:rsid w:val="00711BC0"/>
  </w:style>
  <w:style w:type="character" w:customStyle="1" w:styleId="DefTerm">
    <w:name w:val="DefTerm"/>
    <w:basedOn w:val="DefaultParagraphFont"/>
    <w:uiPriority w:val="1"/>
    <w:qFormat/>
    <w:rsid w:val="00711BC0"/>
    <w:rPr>
      <w:b/>
      <w:color w:val="000000"/>
    </w:rPr>
  </w:style>
  <w:style w:type="paragraph" w:customStyle="1" w:styleId="TitleClause">
    <w:name w:val="Title Clause"/>
    <w:basedOn w:val="Normal"/>
    <w:rsid w:val="00711BC0"/>
    <w:pPr>
      <w:keepNext/>
      <w:numPr>
        <w:numId w:val="50"/>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711BC0"/>
    <w:rPr>
      <w:rFonts w:ascii="Arial" w:eastAsia="Arial Unicode MS" w:hAnsi="Arial" w:cs="Arial"/>
      <w:color w:val="000000"/>
      <w:szCs w:val="20"/>
      <w:lang w:eastAsia="en-US"/>
    </w:rPr>
  </w:style>
  <w:style w:type="paragraph" w:customStyle="1" w:styleId="ParaClause">
    <w:name w:val="Para Clause"/>
    <w:basedOn w:val="Normal"/>
    <w:rsid w:val="00711BC0"/>
    <w:pPr>
      <w:spacing w:before="12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711BC0"/>
    <w:pPr>
      <w:numPr>
        <w:ilvl w:val="1"/>
        <w:numId w:val="50"/>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711BC0"/>
    <w:pPr>
      <w:numPr>
        <w:ilvl w:val="2"/>
        <w:numId w:val="50"/>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711BC0"/>
    <w:pPr>
      <w:numPr>
        <w:ilvl w:val="3"/>
        <w:numId w:val="50"/>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711BC0"/>
    <w:pPr>
      <w:numPr>
        <w:ilvl w:val="4"/>
        <w:numId w:val="50"/>
      </w:numPr>
      <w:spacing w:after="120" w:line="300" w:lineRule="atLeast"/>
      <w:jc w:val="both"/>
      <w:outlineLvl w:val="4"/>
    </w:pPr>
    <w:rPr>
      <w:rFonts w:eastAsia="Arial Unicode MS"/>
      <w:szCs w:val="20"/>
      <w:lang w:eastAsia="en-US"/>
    </w:rPr>
  </w:style>
  <w:style w:type="paragraph" w:customStyle="1" w:styleId="BackgroundSubclause1">
    <w:name w:val="Background Subclause1"/>
    <w:basedOn w:val="Background"/>
    <w:qFormat/>
    <w:rsid w:val="00711BC0"/>
    <w:pPr>
      <w:numPr>
        <w:ilvl w:val="1"/>
      </w:numPr>
    </w:pPr>
  </w:style>
  <w:style w:type="paragraph" w:customStyle="1" w:styleId="BackgroundSubclause2">
    <w:name w:val="Background Subclause2"/>
    <w:basedOn w:val="Background"/>
    <w:qFormat/>
    <w:rsid w:val="00711BC0"/>
    <w:pPr>
      <w:numPr>
        <w:ilvl w:val="3"/>
      </w:numPr>
    </w:pPr>
  </w:style>
  <w:style w:type="paragraph" w:customStyle="1" w:styleId="Abstract">
    <w:name w:val="Abstract"/>
    <w:link w:val="AbstractChar"/>
    <w:rsid w:val="00711BC0"/>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711BC0"/>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711BC0"/>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711BC0"/>
    <w:rPr>
      <w:rFonts w:ascii="Arial" w:eastAsia="Arial Unicode MS" w:hAnsi="Arial" w:cs="Arial"/>
      <w:color w:val="000000"/>
      <w:sz w:val="24"/>
      <w:lang w:val="en-US" w:eastAsia="en-US"/>
    </w:rPr>
  </w:style>
  <w:style w:type="paragraph" w:styleId="Title">
    <w:name w:val="Title"/>
    <w:link w:val="TitleChar"/>
    <w:rsid w:val="00711BC0"/>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711BC0"/>
    <w:rPr>
      <w:rFonts w:ascii="Arial" w:eastAsia="Arial Unicode MS" w:hAnsi="Arial" w:cs="Arial"/>
      <w:color w:val="000000"/>
      <w:sz w:val="24"/>
      <w:lang w:val="en-US" w:eastAsia="en-US"/>
    </w:rPr>
  </w:style>
  <w:style w:type="paragraph" w:customStyle="1" w:styleId="InternalTOC">
    <w:name w:val="Internal TOC"/>
    <w:rsid w:val="00711BC0"/>
    <w:pPr>
      <w:spacing w:after="120" w:line="240" w:lineRule="auto"/>
    </w:pPr>
    <w:rPr>
      <w:rFonts w:ascii="Arial" w:eastAsia="Arial Unicode MS" w:hAnsi="Arial" w:cs="Arial"/>
      <w:color w:val="000000"/>
      <w:lang w:val="en-US" w:eastAsia="en-US"/>
    </w:rPr>
  </w:style>
  <w:style w:type="paragraph" w:customStyle="1" w:styleId="ScheduleTitleClause">
    <w:name w:val="Schedule Title Clause"/>
    <w:basedOn w:val="Normal"/>
    <w:rsid w:val="00711BC0"/>
    <w:pPr>
      <w:keepNext/>
      <w:numPr>
        <w:numId w:val="61"/>
      </w:numPr>
      <w:spacing w:before="240" w:after="240" w:line="300" w:lineRule="atLeast"/>
      <w:jc w:val="both"/>
      <w:outlineLvl w:val="0"/>
    </w:pPr>
    <w:rPr>
      <w:rFonts w:eastAsia="Arial Unicode MS"/>
      <w:b/>
      <w:kern w:val="28"/>
      <w:szCs w:val="20"/>
      <w:lang w:eastAsia="en-US"/>
    </w:rPr>
  </w:style>
  <w:style w:type="paragraph" w:customStyle="1" w:styleId="ScheduleUntitledsubclause1">
    <w:name w:val="Schedule Untitled subclause 1"/>
    <w:basedOn w:val="Normal"/>
    <w:rsid w:val="00711BC0"/>
    <w:pPr>
      <w:numPr>
        <w:ilvl w:val="1"/>
        <w:numId w:val="61"/>
      </w:numPr>
      <w:spacing w:before="280" w:after="120" w:line="300" w:lineRule="atLeast"/>
      <w:jc w:val="both"/>
      <w:outlineLvl w:val="1"/>
    </w:pPr>
    <w:rPr>
      <w:rFonts w:eastAsia="Arial Unicode MS"/>
      <w:szCs w:val="20"/>
      <w:lang w:eastAsia="en-US"/>
    </w:rPr>
  </w:style>
  <w:style w:type="paragraph" w:customStyle="1" w:styleId="ScheduleUntitledsubclause2">
    <w:name w:val="Schedule Untitled subclause 2"/>
    <w:basedOn w:val="Normal"/>
    <w:rsid w:val="00711BC0"/>
    <w:pPr>
      <w:numPr>
        <w:ilvl w:val="2"/>
        <w:numId w:val="61"/>
      </w:numPr>
      <w:spacing w:after="120" w:line="300" w:lineRule="atLeast"/>
      <w:jc w:val="both"/>
      <w:outlineLvl w:val="2"/>
    </w:pPr>
    <w:rPr>
      <w:rFonts w:eastAsia="Arial Unicode MS"/>
      <w:szCs w:val="20"/>
      <w:lang w:eastAsia="en-US"/>
    </w:rPr>
  </w:style>
  <w:style w:type="paragraph" w:customStyle="1" w:styleId="ScheduleUntitledsubclause3">
    <w:name w:val="Schedule Untitled subclause 3"/>
    <w:basedOn w:val="Normal"/>
    <w:rsid w:val="00711BC0"/>
    <w:pPr>
      <w:numPr>
        <w:ilvl w:val="3"/>
        <w:numId w:val="61"/>
      </w:numPr>
      <w:tabs>
        <w:tab w:val="left" w:pos="2261"/>
      </w:tabs>
      <w:spacing w:after="120" w:line="300" w:lineRule="atLeast"/>
      <w:jc w:val="both"/>
      <w:outlineLvl w:val="3"/>
    </w:pPr>
    <w:rPr>
      <w:rFonts w:eastAsia="Arial Unicode MS"/>
      <w:szCs w:val="20"/>
      <w:lang w:eastAsia="en-US"/>
    </w:rPr>
  </w:style>
  <w:style w:type="paragraph" w:customStyle="1" w:styleId="ScheduleUntitledsubclause4">
    <w:name w:val="Schedule Untitled subclause 4"/>
    <w:basedOn w:val="Normal"/>
    <w:rsid w:val="00711BC0"/>
    <w:pPr>
      <w:spacing w:after="120" w:line="300" w:lineRule="atLeast"/>
      <w:jc w:val="both"/>
      <w:outlineLvl w:val="4"/>
    </w:pPr>
    <w:rPr>
      <w:rFonts w:eastAsia="Arial Unicode MS"/>
      <w:szCs w:val="20"/>
      <w:lang w:eastAsia="en-US"/>
    </w:rPr>
  </w:style>
  <w:style w:type="paragraph" w:customStyle="1" w:styleId="DefinedTermNumber">
    <w:name w:val="Defined Term Number"/>
    <w:basedOn w:val="DefinedTermPara"/>
    <w:qFormat/>
    <w:rsid w:val="00711BC0"/>
    <w:pPr>
      <w:numPr>
        <w:ilvl w:val="1"/>
      </w:numPr>
    </w:pPr>
  </w:style>
  <w:style w:type="paragraph" w:customStyle="1" w:styleId="6D83DCFF8BDF479DB88C9CA683CF81C7">
    <w:name w:val="6D83DCFF8BDF479DB88C9CA683CF81C7"/>
    <w:rsid w:val="00797B21"/>
    <w:pPr>
      <w:spacing w:after="120" w:line="240" w:lineRule="auto"/>
    </w:pPr>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711BC0"/>
    <w:pPr>
      <w:numPr>
        <w:numId w:val="13"/>
      </w:numPr>
      <w:spacing w:before="240" w:after="240"/>
      <w:ind w:left="0" w:firstLine="0"/>
    </w:pPr>
    <w:rPr>
      <w:b/>
    </w:rPr>
  </w:style>
  <w:style w:type="paragraph" w:customStyle="1" w:styleId="BulletList1">
    <w:name w:val="Bullet List 1"/>
    <w:aliases w:val="Bullet1"/>
    <w:basedOn w:val="Normal"/>
    <w:rsid w:val="00711BC0"/>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711BC0"/>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711BC0"/>
    <w:pPr>
      <w:numPr>
        <w:numId w:val="4"/>
      </w:numPr>
      <w:spacing w:after="240" w:line="240" w:lineRule="auto"/>
      <w:jc w:val="both"/>
    </w:pPr>
    <w:rPr>
      <w:rFonts w:eastAsia="Arial Unicode MS"/>
      <w:szCs w:val="20"/>
      <w:lang w:eastAsia="en-US"/>
    </w:rPr>
  </w:style>
  <w:style w:type="paragraph" w:customStyle="1" w:styleId="ClauseNoTitle">
    <w:name w:val="Clause No Title"/>
    <w:basedOn w:val="TitleClause"/>
    <w:rsid w:val="00711BC0"/>
    <w:rPr>
      <w:b w:val="0"/>
      <w:smallCaps/>
    </w:rPr>
  </w:style>
  <w:style w:type="paragraph" w:customStyle="1" w:styleId="ClosingPara">
    <w:name w:val="Closing Para"/>
    <w:basedOn w:val="Normal"/>
    <w:rsid w:val="00711BC0"/>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711BC0"/>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711BC0"/>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711BC0"/>
  </w:style>
  <w:style w:type="paragraph" w:customStyle="1" w:styleId="CoverSheetSubjectText">
    <w:name w:val="Cover Sheet Subject Text"/>
    <w:basedOn w:val="Normal"/>
    <w:rsid w:val="00711BC0"/>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711BC0"/>
    <w:pPr>
      <w:spacing w:after="0" w:line="300" w:lineRule="atLeast"/>
      <w:jc w:val="center"/>
    </w:pPr>
    <w:rPr>
      <w:rFonts w:eastAsia="Arial Unicode MS"/>
      <w:szCs w:val="20"/>
      <w:lang w:eastAsia="en-US"/>
    </w:rPr>
  </w:style>
  <w:style w:type="paragraph" w:customStyle="1" w:styleId="DraftingnoteSection1Para">
    <w:name w:val="Draftingnote Section1 Para"/>
    <w:basedOn w:val="Normal"/>
    <w:rsid w:val="00711BC0"/>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711BC0"/>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711BC0"/>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711BC0"/>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711BC0"/>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711BC0"/>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711BC0"/>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711BC0"/>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711BC0"/>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711BC0"/>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711BC0"/>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711BC0"/>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711BC0"/>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711BC0"/>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711BC0"/>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711BC0"/>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711BC0"/>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711BC0"/>
    <w:pPr>
      <w:spacing w:after="120" w:line="300" w:lineRule="atLeast"/>
      <w:jc w:val="both"/>
    </w:pPr>
    <w:rPr>
      <w:rFonts w:eastAsia="Arial Unicode MS"/>
      <w:szCs w:val="20"/>
      <w:lang w:eastAsia="en-US"/>
    </w:rPr>
  </w:style>
  <w:style w:type="paragraph" w:customStyle="1" w:styleId="GlossItemGlossterm">
    <w:name w:val="GlossItem Glossterm"/>
    <w:basedOn w:val="Normal"/>
    <w:rsid w:val="00711BC0"/>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711BC0"/>
    <w:pPr>
      <w:spacing w:after="120" w:line="300" w:lineRule="atLeast"/>
      <w:jc w:val="both"/>
    </w:pPr>
    <w:rPr>
      <w:rFonts w:eastAsia="Arial Unicode MS"/>
      <w:szCs w:val="20"/>
      <w:lang w:eastAsia="en-US"/>
    </w:rPr>
  </w:style>
  <w:style w:type="paragraph" w:customStyle="1" w:styleId="HeadingDate">
    <w:name w:val="Heading Date"/>
    <w:basedOn w:val="Normal"/>
    <w:rsid w:val="00711BC0"/>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711BC0"/>
    <w:pPr>
      <w:spacing w:after="120" w:line="300" w:lineRule="atLeast"/>
      <w:jc w:val="both"/>
    </w:pPr>
    <w:rPr>
      <w:rFonts w:eastAsia="Arial Unicode MS"/>
      <w:szCs w:val="20"/>
      <w:lang w:eastAsia="en-US"/>
    </w:rPr>
  </w:style>
  <w:style w:type="paragraph" w:customStyle="1" w:styleId="HeadingSalutation">
    <w:name w:val="Heading Salutation"/>
    <w:basedOn w:val="Normal"/>
    <w:rsid w:val="00711BC0"/>
    <w:pPr>
      <w:spacing w:after="120" w:line="300" w:lineRule="atLeast"/>
      <w:jc w:val="both"/>
    </w:pPr>
    <w:rPr>
      <w:rFonts w:eastAsia="Arial Unicode MS"/>
      <w:szCs w:val="20"/>
      <w:lang w:eastAsia="en-US"/>
    </w:rPr>
  </w:style>
  <w:style w:type="paragraph" w:customStyle="1" w:styleId="InternalAuthor">
    <w:name w:val="Internal Author"/>
    <w:link w:val="InternalAuthorChar"/>
    <w:rsid w:val="00711BC0"/>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711BC0"/>
    <w:rPr>
      <w:rFonts w:ascii="Arial" w:eastAsia="Arial Unicode MS" w:hAnsi="Arial" w:cs="Arial"/>
      <w:color w:val="000000"/>
      <w:sz w:val="24"/>
      <w:lang w:val="en-US" w:eastAsia="en-US"/>
    </w:rPr>
  </w:style>
  <w:style w:type="paragraph" w:customStyle="1" w:styleId="MaintenanceEditor">
    <w:name w:val="Maintenance Editor"/>
    <w:link w:val="MaintenanceEditorChar"/>
    <w:rsid w:val="00711BC0"/>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711BC0"/>
    <w:rPr>
      <w:rFonts w:ascii="Arial" w:eastAsia="Arial Unicode MS" w:hAnsi="Arial" w:cs="Arial"/>
      <w:color w:val="000000"/>
      <w:sz w:val="24"/>
      <w:lang w:val="en-US" w:eastAsia="en-US"/>
    </w:rPr>
  </w:style>
  <w:style w:type="paragraph" w:customStyle="1" w:styleId="Parasubclause1">
    <w:name w:val="Para subclause 1"/>
    <w:aliases w:val="BIWS Heading 2"/>
    <w:basedOn w:val="Normal"/>
    <w:rsid w:val="00711BC0"/>
    <w:pPr>
      <w:spacing w:before="240" w:after="120" w:line="300" w:lineRule="atLeast"/>
      <w:ind w:left="720"/>
      <w:jc w:val="both"/>
    </w:pPr>
    <w:rPr>
      <w:rFonts w:eastAsia="Arial Unicode MS"/>
      <w:szCs w:val="20"/>
      <w:lang w:eastAsia="en-US"/>
    </w:rPr>
  </w:style>
  <w:style w:type="paragraph" w:customStyle="1" w:styleId="Parasubclause2">
    <w:name w:val="Para subclause 2"/>
    <w:aliases w:val="BIWS Heading 3"/>
    <w:basedOn w:val="Normal"/>
    <w:rsid w:val="00711BC0"/>
    <w:pPr>
      <w:spacing w:after="240" w:line="300" w:lineRule="atLeast"/>
      <w:ind w:left="1559"/>
      <w:jc w:val="both"/>
    </w:pPr>
    <w:rPr>
      <w:rFonts w:eastAsia="Arial Unicode MS"/>
      <w:szCs w:val="20"/>
      <w:lang w:eastAsia="en-US"/>
    </w:rPr>
  </w:style>
  <w:style w:type="paragraph" w:customStyle="1" w:styleId="Parasubclause3">
    <w:name w:val="Para subclause 3"/>
    <w:aliases w:val="BIWS Heading 4"/>
    <w:basedOn w:val="Normal"/>
    <w:next w:val="Untitledsubclause2"/>
    <w:rsid w:val="00711BC0"/>
    <w:pPr>
      <w:spacing w:after="120" w:line="300" w:lineRule="atLeast"/>
      <w:ind w:left="2268"/>
      <w:jc w:val="both"/>
    </w:pPr>
    <w:rPr>
      <w:rFonts w:eastAsia="Arial Unicode MS"/>
      <w:szCs w:val="20"/>
      <w:lang w:eastAsia="en-US"/>
    </w:rPr>
  </w:style>
  <w:style w:type="paragraph" w:customStyle="1" w:styleId="Parasubclause4">
    <w:name w:val="Para subclause 4"/>
    <w:aliases w:val="BIWS Heading 5"/>
    <w:basedOn w:val="Parasubclause3"/>
    <w:rsid w:val="00711BC0"/>
    <w:pPr>
      <w:spacing w:after="240"/>
      <w:ind w:left="3028"/>
    </w:pPr>
  </w:style>
  <w:style w:type="paragraph" w:customStyle="1" w:styleId="Para">
    <w:name w:val="Para"/>
    <w:aliases w:val="PLC Style - Normal"/>
    <w:basedOn w:val="Normal"/>
    <w:rsid w:val="00711BC0"/>
    <w:pPr>
      <w:spacing w:after="120" w:line="300" w:lineRule="atLeast"/>
      <w:jc w:val="both"/>
    </w:pPr>
    <w:rPr>
      <w:rFonts w:eastAsia="Arial Unicode MS"/>
      <w:szCs w:val="20"/>
      <w:lang w:eastAsia="en-US"/>
    </w:rPr>
  </w:style>
  <w:style w:type="paragraph" w:customStyle="1" w:styleId="Parties">
    <w:name w:val="Parties"/>
    <w:aliases w:val="(1) Parties"/>
    <w:basedOn w:val="Normal"/>
    <w:rsid w:val="00711BC0"/>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711BC0"/>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711BC0"/>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711BC0"/>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711BC0"/>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711BC0"/>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711BC0"/>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711BC0"/>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711BC0"/>
    <w:rPr>
      <w:rFonts w:ascii="Arial" w:eastAsia="Arial Unicode MS" w:hAnsi="Arial" w:cs="Arial"/>
      <w:b/>
      <w:bCs/>
      <w:color w:val="000000"/>
      <w:sz w:val="24"/>
      <w:lang w:val="en-US" w:eastAsia="en-US"/>
    </w:rPr>
  </w:style>
  <w:style w:type="paragraph" w:customStyle="1" w:styleId="ResourceType">
    <w:name w:val="Resource Type"/>
    <w:link w:val="ResourceTypeChar"/>
    <w:rsid w:val="00711BC0"/>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711BC0"/>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711BC0"/>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711BC0"/>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711BC0"/>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711BC0"/>
    <w:pPr>
      <w:spacing w:after="120" w:line="300" w:lineRule="atLeast"/>
      <w:jc w:val="both"/>
    </w:pPr>
    <w:rPr>
      <w:rFonts w:eastAsia="Arial Unicode MS"/>
      <w:szCs w:val="20"/>
      <w:lang w:eastAsia="en-US"/>
    </w:rPr>
  </w:style>
  <w:style w:type="paragraph" w:customStyle="1" w:styleId="SpeedreadPara">
    <w:name w:val="Speedread Para"/>
    <w:basedOn w:val="Normal"/>
    <w:rsid w:val="00711BC0"/>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711BC0"/>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711BC0"/>
    <w:pPr>
      <w:spacing w:after="120" w:line="300" w:lineRule="atLeast"/>
      <w:jc w:val="both"/>
    </w:pPr>
    <w:rPr>
      <w:rFonts w:eastAsia="Arial Unicode MS"/>
      <w:szCs w:val="20"/>
      <w:lang w:eastAsia="en-US"/>
    </w:rPr>
  </w:style>
  <w:style w:type="paragraph" w:customStyle="1" w:styleId="SpeedreadText">
    <w:name w:val="Speedread Text"/>
    <w:basedOn w:val="Normal"/>
    <w:rsid w:val="00711BC0"/>
    <w:pPr>
      <w:spacing w:after="120" w:line="300" w:lineRule="atLeast"/>
      <w:jc w:val="both"/>
    </w:pPr>
    <w:rPr>
      <w:rFonts w:eastAsia="Arial Unicode MS"/>
      <w:szCs w:val="20"/>
      <w:lang w:eastAsia="en-US"/>
    </w:rPr>
  </w:style>
  <w:style w:type="paragraph" w:customStyle="1" w:styleId="SpeedreadTitle">
    <w:name w:val="Speedread Title"/>
    <w:basedOn w:val="Normal"/>
    <w:rsid w:val="00711BC0"/>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711BC0"/>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711BC0"/>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711BC0"/>
    <w:rPr>
      <w:i/>
      <w:color w:val="000000"/>
      <w:u w:val="single"/>
    </w:rPr>
  </w:style>
  <w:style w:type="paragraph" w:customStyle="1" w:styleId="Bullet4">
    <w:name w:val="Bullet4"/>
    <w:basedOn w:val="Normal"/>
    <w:rsid w:val="00711BC0"/>
    <w:pPr>
      <w:numPr>
        <w:numId w:val="9"/>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711BC0"/>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711BC0"/>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711BC0"/>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711BC0"/>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711BC0"/>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711BC0"/>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711BC0"/>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711BC0"/>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711BC0"/>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711BC0"/>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711BC0"/>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711BC0"/>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711BC0"/>
    <w:rPr>
      <w:rFonts w:ascii="Arial" w:eastAsia="Arial Unicode MS" w:hAnsi="Arial" w:cs="Arial"/>
      <w:color w:val="000000"/>
      <w:szCs w:val="24"/>
      <w:lang w:val="en-US" w:eastAsia="en-US"/>
    </w:rPr>
  </w:style>
  <w:style w:type="paragraph" w:customStyle="1" w:styleId="IntroCustom">
    <w:name w:val="Intro Custom"/>
    <w:basedOn w:val="Paragraph"/>
    <w:qFormat/>
    <w:rsid w:val="00711BC0"/>
  </w:style>
  <w:style w:type="paragraph" w:customStyle="1" w:styleId="PrecedentType">
    <w:name w:val="Precedent Type"/>
    <w:basedOn w:val="IgnoredSpacing"/>
    <w:qFormat/>
    <w:rsid w:val="00711BC0"/>
  </w:style>
  <w:style w:type="paragraph" w:customStyle="1" w:styleId="Operative">
    <w:name w:val="Operative"/>
    <w:basedOn w:val="IgnoredSpacing"/>
    <w:qFormat/>
    <w:rsid w:val="00711BC0"/>
    <w:rPr>
      <w:vanish/>
    </w:rPr>
  </w:style>
  <w:style w:type="paragraph" w:customStyle="1" w:styleId="SpeedreadBulletList1">
    <w:name w:val="Speedread Bullet List 1"/>
    <w:basedOn w:val="BulletList1"/>
    <w:qFormat/>
    <w:rsid w:val="00711BC0"/>
  </w:style>
  <w:style w:type="paragraph" w:customStyle="1" w:styleId="PartiesTitle">
    <w:name w:val="Parties Title"/>
    <w:basedOn w:val="Paragraph"/>
    <w:qFormat/>
    <w:rsid w:val="00711BC0"/>
    <w:rPr>
      <w:b/>
    </w:rPr>
  </w:style>
  <w:style w:type="paragraph" w:customStyle="1" w:styleId="QuestionParagraph">
    <w:name w:val="Question Paragraph"/>
    <w:link w:val="QuestionParagraphChar"/>
    <w:qFormat/>
    <w:rsid w:val="00711BC0"/>
    <w:pPr>
      <w:numPr>
        <w:numId w:val="10"/>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711BC0"/>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711BC0"/>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711BC0"/>
    <w:pPr>
      <w:shd w:val="clear" w:color="auto" w:fill="D9D9D9" w:themeFill="background1" w:themeFillShade="D9"/>
      <w:ind w:left="1077"/>
    </w:pPr>
  </w:style>
  <w:style w:type="paragraph" w:customStyle="1" w:styleId="TestimoniumContract">
    <w:name w:val="Testimonium Contract"/>
    <w:basedOn w:val="Paragraph"/>
    <w:qFormat/>
    <w:rsid w:val="00711BC0"/>
  </w:style>
  <w:style w:type="paragraph" w:customStyle="1" w:styleId="TestimoniumDeed">
    <w:name w:val="Testimonium Deed"/>
    <w:basedOn w:val="Paragraph"/>
    <w:qFormat/>
    <w:rsid w:val="00711BC0"/>
  </w:style>
  <w:style w:type="paragraph" w:customStyle="1" w:styleId="Titlesubclause2">
    <w:name w:val="Title subclause2"/>
    <w:basedOn w:val="Untitledsubclause2"/>
    <w:qFormat/>
    <w:rsid w:val="00711BC0"/>
    <w:rPr>
      <w:b/>
    </w:rPr>
  </w:style>
  <w:style w:type="paragraph" w:customStyle="1" w:styleId="Titlesubclause3">
    <w:name w:val="Title subclause3"/>
    <w:basedOn w:val="Untitledsubclause3"/>
    <w:qFormat/>
    <w:rsid w:val="00711BC0"/>
    <w:rPr>
      <w:b/>
    </w:rPr>
  </w:style>
  <w:style w:type="paragraph" w:customStyle="1" w:styleId="Titlesubclause4">
    <w:name w:val="Title subclause4"/>
    <w:basedOn w:val="Untitledsubclause4"/>
    <w:qFormat/>
    <w:rsid w:val="00711BC0"/>
    <w:rPr>
      <w:b/>
    </w:rPr>
  </w:style>
  <w:style w:type="paragraph" w:customStyle="1" w:styleId="UntitledClause">
    <w:name w:val="Untitled Clause"/>
    <w:basedOn w:val="TitleClause"/>
    <w:qFormat/>
    <w:rsid w:val="00711BC0"/>
    <w:pPr>
      <w:spacing w:before="120"/>
    </w:pPr>
    <w:rPr>
      <w:b w:val="0"/>
    </w:rPr>
  </w:style>
  <w:style w:type="paragraph" w:customStyle="1" w:styleId="ScheduleUntitledClause">
    <w:name w:val="Schedule Untitled Clause"/>
    <w:basedOn w:val="ScheduleTitleClause"/>
    <w:qFormat/>
    <w:rsid w:val="00711BC0"/>
    <w:pPr>
      <w:spacing w:before="120"/>
    </w:pPr>
    <w:rPr>
      <w:b w:val="0"/>
    </w:rPr>
  </w:style>
  <w:style w:type="paragraph" w:customStyle="1" w:styleId="Titlesubclause1">
    <w:name w:val="Title subclause1"/>
    <w:basedOn w:val="Untitledsubclause1"/>
    <w:qFormat/>
    <w:rsid w:val="00711BC0"/>
    <w:pPr>
      <w:spacing w:before="120"/>
    </w:pPr>
    <w:rPr>
      <w:b/>
    </w:rPr>
  </w:style>
  <w:style w:type="paragraph" w:customStyle="1" w:styleId="AnnexTitle">
    <w:name w:val="Annex Title"/>
    <w:basedOn w:val="Paragraph"/>
    <w:next w:val="Paragraph"/>
    <w:qFormat/>
    <w:rsid w:val="00711BC0"/>
    <w:pPr>
      <w:spacing w:before="240" w:after="240"/>
    </w:pPr>
    <w:rPr>
      <w:b/>
    </w:rPr>
  </w:style>
  <w:style w:type="paragraph" w:customStyle="1" w:styleId="PartTitle">
    <w:name w:val="Part Title"/>
    <w:basedOn w:val="Paragraph"/>
    <w:qFormat/>
    <w:rsid w:val="00711BC0"/>
    <w:rPr>
      <w:b/>
    </w:rPr>
  </w:style>
  <w:style w:type="character" w:customStyle="1" w:styleId="apple-converted-space">
    <w:name w:val="apple-converted-space"/>
    <w:basedOn w:val="DefaultParagraphFont"/>
    <w:rsid w:val="00711BC0"/>
    <w:rPr>
      <w:color w:val="000000"/>
    </w:rPr>
  </w:style>
  <w:style w:type="character" w:styleId="Emphasis">
    <w:name w:val="Emphasis"/>
    <w:basedOn w:val="DefaultParagraphFont"/>
    <w:uiPriority w:val="20"/>
    <w:qFormat/>
    <w:rsid w:val="00711BC0"/>
    <w:rPr>
      <w:i/>
      <w:iCs/>
      <w:color w:val="000000"/>
    </w:rPr>
  </w:style>
  <w:style w:type="paragraph" w:customStyle="1" w:styleId="NoNumTitle-Clause">
    <w:name w:val="No Num Title - Clause"/>
    <w:basedOn w:val="TitleClause"/>
    <w:qFormat/>
    <w:rsid w:val="00711BC0"/>
    <w:pPr>
      <w:numPr>
        <w:numId w:val="0"/>
      </w:numPr>
      <w:ind w:left="720"/>
    </w:pPr>
  </w:style>
  <w:style w:type="paragraph" w:customStyle="1" w:styleId="NoNumTitlesubclause1">
    <w:name w:val="No Num Title subclause1"/>
    <w:basedOn w:val="Titlesubclause1"/>
    <w:qFormat/>
    <w:rsid w:val="00711BC0"/>
    <w:pPr>
      <w:numPr>
        <w:ilvl w:val="0"/>
        <w:numId w:val="0"/>
      </w:numPr>
      <w:ind w:left="720"/>
    </w:pPr>
  </w:style>
  <w:style w:type="paragraph" w:customStyle="1" w:styleId="AddressLine">
    <w:name w:val="Address Line"/>
    <w:basedOn w:val="Paragraph"/>
    <w:qFormat/>
    <w:rsid w:val="00711BC0"/>
  </w:style>
  <w:style w:type="paragraph" w:styleId="Date">
    <w:name w:val="Date"/>
    <w:basedOn w:val="Paragraph"/>
    <w:qFormat/>
    <w:rsid w:val="00711BC0"/>
  </w:style>
  <w:style w:type="paragraph" w:customStyle="1" w:styleId="SalutationPara">
    <w:name w:val="Salutation Para"/>
    <w:basedOn w:val="Paragraph"/>
    <w:next w:val="Paragraph"/>
    <w:qFormat/>
    <w:rsid w:val="00711BC0"/>
    <w:pPr>
      <w:spacing w:before="240"/>
    </w:pPr>
  </w:style>
  <w:style w:type="character" w:styleId="FollowedHyperlink">
    <w:name w:val="FollowedHyperlink"/>
    <w:basedOn w:val="DefaultParagraphFont"/>
    <w:uiPriority w:val="99"/>
    <w:semiHidden/>
    <w:unhideWhenUsed/>
    <w:rsid w:val="00711BC0"/>
    <w:rPr>
      <w:i/>
      <w:color w:val="000000"/>
      <w:u w:val="single"/>
    </w:rPr>
  </w:style>
  <w:style w:type="table" w:customStyle="1" w:styleId="ShadedTable">
    <w:name w:val="Shaded Table"/>
    <w:basedOn w:val="TableNormal"/>
    <w:uiPriority w:val="99"/>
    <w:rsid w:val="00711BC0"/>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711BC0"/>
    <w:rPr>
      <w:i/>
    </w:rPr>
  </w:style>
  <w:style w:type="paragraph" w:customStyle="1" w:styleId="LetterTitle">
    <w:name w:val="Letter Title"/>
    <w:basedOn w:val="Paragraph"/>
    <w:qFormat/>
    <w:rsid w:val="00711BC0"/>
    <w:rPr>
      <w:b/>
    </w:rPr>
  </w:style>
  <w:style w:type="paragraph" w:customStyle="1" w:styleId="LongQuestionPara">
    <w:name w:val="Long Question Para"/>
    <w:basedOn w:val="Paragraph"/>
    <w:link w:val="LongQuestionParaChar"/>
    <w:rsid w:val="00711BC0"/>
    <w:pPr>
      <w:numPr>
        <w:numId w:val="15"/>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711BC0"/>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711BC0"/>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711BC0"/>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8D79BB"/>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711BC0"/>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711BC0"/>
    <w:pPr>
      <w:jc w:val="center"/>
    </w:pPr>
    <w:rPr>
      <w:sz w:val="28"/>
    </w:rPr>
  </w:style>
  <w:style w:type="paragraph" w:customStyle="1" w:styleId="Title-Clause">
    <w:name w:val="Title - Clause"/>
    <w:aliases w:val="BIWS Heading 1"/>
    <w:basedOn w:val="Normal"/>
    <w:rsid w:val="00711BC0"/>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711BC0"/>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711BC0"/>
    <w:pPr>
      <w:spacing w:before="120"/>
    </w:pPr>
    <w:rPr>
      <w:b w:val="0"/>
    </w:rPr>
  </w:style>
  <w:style w:type="paragraph" w:customStyle="1" w:styleId="CoversheetParagraph">
    <w:name w:val="Coversheet Paragraph"/>
    <w:basedOn w:val="Normal"/>
    <w:autoRedefine/>
    <w:rsid w:val="00711BC0"/>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711BC0"/>
    <w:rPr>
      <w:smallCaps w:val="0"/>
      <w:sz w:val="22"/>
    </w:rPr>
  </w:style>
  <w:style w:type="paragraph" w:customStyle="1" w:styleId="CoversheetStaticText">
    <w:name w:val="Coversheet Static Text"/>
    <w:basedOn w:val="CoversheetIntro"/>
    <w:qFormat/>
    <w:rsid w:val="00711BC0"/>
    <w:rPr>
      <w:b w:val="0"/>
    </w:rPr>
  </w:style>
  <w:style w:type="paragraph" w:customStyle="1" w:styleId="CoversheetParty">
    <w:name w:val="Coversheet Party"/>
    <w:basedOn w:val="CoversheetIntro"/>
    <w:qFormat/>
    <w:rsid w:val="00711BC0"/>
  </w:style>
  <w:style w:type="paragraph" w:customStyle="1" w:styleId="NoNumUntitledClause">
    <w:name w:val="No Num Untitled Clause"/>
    <w:basedOn w:val="UntitledClause"/>
    <w:qFormat/>
    <w:rsid w:val="00711BC0"/>
    <w:pPr>
      <w:numPr>
        <w:numId w:val="0"/>
      </w:numPr>
      <w:ind w:left="720"/>
    </w:pPr>
  </w:style>
  <w:style w:type="paragraph" w:customStyle="1" w:styleId="HeadingLevel2CQA">
    <w:name w:val="Heading Level 2 CQA"/>
    <w:basedOn w:val="HeadingLevel2"/>
    <w:qFormat/>
    <w:rsid w:val="00711BC0"/>
  </w:style>
  <w:style w:type="paragraph" w:customStyle="1" w:styleId="ClauseBullet1">
    <w:name w:val="Clause Bullet 1"/>
    <w:basedOn w:val="ParaClause"/>
    <w:qFormat/>
    <w:rsid w:val="00711BC0"/>
    <w:pPr>
      <w:numPr>
        <w:numId w:val="16"/>
      </w:numPr>
      <w:ind w:left="1077" w:hanging="357"/>
      <w:outlineLvl w:val="0"/>
    </w:pPr>
  </w:style>
  <w:style w:type="paragraph" w:customStyle="1" w:styleId="ClauseBullet2">
    <w:name w:val="Clause Bullet 2"/>
    <w:basedOn w:val="ParaClause"/>
    <w:qFormat/>
    <w:rsid w:val="00711BC0"/>
    <w:pPr>
      <w:numPr>
        <w:numId w:val="17"/>
      </w:numPr>
      <w:ind w:left="1434" w:hanging="357"/>
      <w:outlineLvl w:val="1"/>
    </w:pPr>
  </w:style>
  <w:style w:type="paragraph" w:customStyle="1" w:styleId="subclause1Bullet1">
    <w:name w:val="subclause 1 Bullet 1"/>
    <w:basedOn w:val="Parasubclause1"/>
    <w:qFormat/>
    <w:rsid w:val="00711BC0"/>
    <w:pPr>
      <w:numPr>
        <w:numId w:val="18"/>
      </w:numPr>
      <w:ind w:left="1077" w:hanging="357"/>
    </w:pPr>
  </w:style>
  <w:style w:type="paragraph" w:customStyle="1" w:styleId="subclause2Bullet1">
    <w:name w:val="subclause 2 Bullet 1"/>
    <w:basedOn w:val="Parasubclause2"/>
    <w:qFormat/>
    <w:rsid w:val="00711BC0"/>
    <w:pPr>
      <w:numPr>
        <w:numId w:val="20"/>
      </w:numPr>
      <w:ind w:left="1434" w:hanging="357"/>
    </w:pPr>
  </w:style>
  <w:style w:type="paragraph" w:customStyle="1" w:styleId="subclause3Bullet1">
    <w:name w:val="subclause 3 Bullet 1"/>
    <w:basedOn w:val="Parasubclause3"/>
    <w:qFormat/>
    <w:rsid w:val="00711BC0"/>
    <w:pPr>
      <w:numPr>
        <w:numId w:val="19"/>
      </w:numPr>
      <w:ind w:left="2273" w:hanging="357"/>
    </w:pPr>
  </w:style>
  <w:style w:type="paragraph" w:customStyle="1" w:styleId="subclause1Bullet2">
    <w:name w:val="subclause 1 Bullet 2"/>
    <w:basedOn w:val="Parasubclause1"/>
    <w:qFormat/>
    <w:rsid w:val="00711BC0"/>
    <w:pPr>
      <w:numPr>
        <w:numId w:val="21"/>
      </w:numPr>
      <w:ind w:left="1434" w:hanging="357"/>
    </w:pPr>
  </w:style>
  <w:style w:type="paragraph" w:customStyle="1" w:styleId="subclause2Bullet2">
    <w:name w:val="subclause 2 Bullet 2"/>
    <w:basedOn w:val="Parasubclause2"/>
    <w:qFormat/>
    <w:rsid w:val="00711BC0"/>
    <w:pPr>
      <w:numPr>
        <w:numId w:val="22"/>
      </w:numPr>
      <w:ind w:left="2273" w:hanging="357"/>
    </w:pPr>
  </w:style>
  <w:style w:type="paragraph" w:customStyle="1" w:styleId="subclause3Bullet2">
    <w:name w:val="subclause 3 Bullet 2"/>
    <w:basedOn w:val="Parasubclause3"/>
    <w:qFormat/>
    <w:rsid w:val="00711BC0"/>
    <w:pPr>
      <w:numPr>
        <w:numId w:val="23"/>
      </w:numPr>
      <w:ind w:left="2982" w:hanging="357"/>
    </w:pPr>
  </w:style>
  <w:style w:type="paragraph" w:customStyle="1" w:styleId="DefinedTermBullet">
    <w:name w:val="Defined Term Bullet"/>
    <w:basedOn w:val="DefinedTermPara"/>
    <w:qFormat/>
    <w:rsid w:val="00711BC0"/>
    <w:pPr>
      <w:numPr>
        <w:numId w:val="24"/>
      </w:numPr>
    </w:pPr>
  </w:style>
  <w:style w:type="paragraph" w:customStyle="1" w:styleId="AdditionalTitle">
    <w:name w:val="Additional Title"/>
    <w:basedOn w:val="Paragraph"/>
    <w:qFormat/>
    <w:rsid w:val="00711BC0"/>
    <w:pPr>
      <w:jc w:val="left"/>
    </w:pPr>
    <w:rPr>
      <w:b/>
      <w:sz w:val="24"/>
    </w:rPr>
  </w:style>
  <w:style w:type="character" w:customStyle="1" w:styleId="error">
    <w:name w:val="error"/>
    <w:basedOn w:val="DefaultParagraphFont"/>
    <w:rsid w:val="00711BC0"/>
    <w:rPr>
      <w:color w:val="000000"/>
    </w:rPr>
  </w:style>
  <w:style w:type="paragraph" w:customStyle="1" w:styleId="NoNumUntitledsubclause1">
    <w:name w:val="No Num Untitled subclause 1"/>
    <w:basedOn w:val="Untitledsubclause1"/>
    <w:qFormat/>
    <w:rsid w:val="00711BC0"/>
    <w:pPr>
      <w:numPr>
        <w:ilvl w:val="0"/>
        <w:numId w:val="0"/>
      </w:numPr>
      <w:ind w:left="720"/>
    </w:pPr>
  </w:style>
  <w:style w:type="paragraph" w:customStyle="1" w:styleId="BackgroundParaClause">
    <w:name w:val="Background Para Clause"/>
    <w:basedOn w:val="Background"/>
    <w:qFormat/>
    <w:rsid w:val="00711BC0"/>
    <w:pPr>
      <w:numPr>
        <w:numId w:val="0"/>
      </w:numPr>
    </w:pPr>
  </w:style>
  <w:style w:type="paragraph" w:customStyle="1" w:styleId="BackgroundParaSubclause1">
    <w:name w:val="Background Para Subclause1"/>
    <w:basedOn w:val="BackgroundSubclause1"/>
    <w:qFormat/>
    <w:rsid w:val="00711BC0"/>
    <w:pPr>
      <w:numPr>
        <w:ilvl w:val="0"/>
        <w:numId w:val="0"/>
      </w:numPr>
      <w:ind w:left="994"/>
    </w:pPr>
    <w:rPr>
      <w:lang w:val="en-US"/>
    </w:rPr>
  </w:style>
  <w:style w:type="paragraph" w:customStyle="1" w:styleId="BackgroundParaSubclause2">
    <w:name w:val="Background Para Subclause2"/>
    <w:basedOn w:val="BackgroundSubclause2"/>
    <w:qFormat/>
    <w:rsid w:val="00711BC0"/>
    <w:pPr>
      <w:numPr>
        <w:ilvl w:val="0"/>
        <w:numId w:val="0"/>
      </w:numPr>
      <w:ind w:left="1701"/>
    </w:pPr>
    <w:rPr>
      <w:lang w:val="en-US"/>
    </w:rPr>
  </w:style>
  <w:style w:type="paragraph" w:customStyle="1" w:styleId="ClauseBulletPara">
    <w:name w:val="Clause Bullet Para"/>
    <w:basedOn w:val="ClauseBullet1"/>
    <w:qFormat/>
    <w:rsid w:val="00711BC0"/>
    <w:pPr>
      <w:numPr>
        <w:numId w:val="0"/>
      </w:numPr>
      <w:ind w:left="1080"/>
    </w:pPr>
    <w:rPr>
      <w:lang w:val="en-US"/>
    </w:rPr>
  </w:style>
  <w:style w:type="paragraph" w:customStyle="1" w:styleId="ClauseBullet2Para">
    <w:name w:val="Clause Bullet 2 Para"/>
    <w:basedOn w:val="ClauseBullet2"/>
    <w:qFormat/>
    <w:rsid w:val="00711BC0"/>
    <w:pPr>
      <w:numPr>
        <w:numId w:val="0"/>
      </w:numPr>
      <w:ind w:left="1440"/>
    </w:pPr>
    <w:rPr>
      <w:lang w:val="en-US"/>
    </w:rPr>
  </w:style>
  <w:style w:type="paragraph" w:customStyle="1" w:styleId="ACTJurisdictionCheckList">
    <w:name w:val="ACTJurisdictionCheckList"/>
    <w:basedOn w:val="Normal"/>
    <w:rsid w:val="00711BC0"/>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711BC0"/>
  </w:style>
  <w:style w:type="paragraph" w:customStyle="1" w:styleId="EmptyClausePara">
    <w:name w:val="Empty Clause Para"/>
    <w:basedOn w:val="IgnoredSpacing"/>
    <w:qFormat/>
    <w:rsid w:val="00711BC0"/>
  </w:style>
  <w:style w:type="paragraph" w:styleId="ListParagraph">
    <w:name w:val="List Paragraph"/>
    <w:basedOn w:val="Normal"/>
    <w:uiPriority w:val="34"/>
    <w:qFormat/>
    <w:rsid w:val="00711BC0"/>
    <w:pPr>
      <w:ind w:left="720"/>
      <w:contextualSpacing/>
    </w:pPr>
  </w:style>
  <w:style w:type="paragraph" w:customStyle="1" w:styleId="ScheduleTitlesubclause1">
    <w:name w:val="Schedule Title subclause1"/>
    <w:basedOn w:val="ScheduleUntitledsubclause1"/>
    <w:qFormat/>
    <w:rsid w:val="00711BC0"/>
    <w:pPr>
      <w:spacing w:before="120"/>
    </w:pPr>
    <w:rPr>
      <w:b/>
    </w:rPr>
  </w:style>
  <w:style w:type="paragraph" w:customStyle="1" w:styleId="BulletList1Pattern">
    <w:name w:val="Bullet List 1 + Pattern"/>
    <w:basedOn w:val="BulletList1"/>
    <w:qFormat/>
    <w:rsid w:val="00711BC0"/>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711BC0"/>
    <w:pPr>
      <w:shd w:val="clear" w:color="auto" w:fill="D9D9D9" w:themeFill="background1" w:themeFillShade="D9"/>
      <w:ind w:left="1077"/>
    </w:pPr>
  </w:style>
  <w:style w:type="paragraph" w:customStyle="1" w:styleId="SectorSpecificNoteTitle">
    <w:name w:val="Sector Specific Note Title"/>
    <w:basedOn w:val="JurisdictionDraftingnoteTitle"/>
    <w:qFormat/>
    <w:rsid w:val="00711BC0"/>
  </w:style>
  <w:style w:type="table" w:customStyle="1" w:styleId="ShadedTable1">
    <w:name w:val="Shaded Table1"/>
    <w:basedOn w:val="TableNormal"/>
    <w:uiPriority w:val="99"/>
    <w:rsid w:val="00711BC0"/>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711BC0"/>
  </w:style>
  <w:style w:type="character" w:customStyle="1" w:styleId="UnresolvedMention1">
    <w:name w:val="Unresolved Mention1"/>
    <w:basedOn w:val="DefaultParagraphFont"/>
    <w:uiPriority w:val="99"/>
    <w:semiHidden/>
    <w:unhideWhenUsed/>
    <w:rsid w:val="00797B21"/>
    <w:rPr>
      <w:color w:val="000000"/>
      <w:shd w:val="clear" w:color="auto" w:fill="E1DFDD"/>
    </w:rPr>
  </w:style>
  <w:style w:type="paragraph" w:customStyle="1" w:styleId="835FF0B0D5344FE4A8EE41F54AA7E17C16">
    <w:name w:val="835FF0B0D5344FE4A8EE41F54AA7E17C16"/>
    <w:rsid w:val="00797B21"/>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unhideWhenUsed/>
    <w:rsid w:val="00797B21"/>
    <w:rPr>
      <w:color w:val="000000"/>
      <w:sz w:val="16"/>
      <w:szCs w:val="16"/>
    </w:rPr>
  </w:style>
  <w:style w:type="paragraph" w:styleId="CommentText">
    <w:name w:val="annotation text"/>
    <w:basedOn w:val="Normal"/>
    <w:link w:val="CommentTextChar"/>
    <w:uiPriority w:val="99"/>
    <w:unhideWhenUsed/>
    <w:rsid w:val="00797B21"/>
    <w:pPr>
      <w:spacing w:line="240" w:lineRule="auto"/>
    </w:pPr>
    <w:rPr>
      <w:sz w:val="20"/>
      <w:szCs w:val="20"/>
    </w:rPr>
  </w:style>
  <w:style w:type="character" w:customStyle="1" w:styleId="CommentTextChar">
    <w:name w:val="Comment Text Char"/>
    <w:basedOn w:val="DefaultParagraphFont"/>
    <w:link w:val="CommentText"/>
    <w:uiPriority w:val="99"/>
    <w:rsid w:val="00797B21"/>
    <w:rPr>
      <w:color w:val="000000"/>
      <w:sz w:val="20"/>
      <w:szCs w:val="20"/>
    </w:rPr>
  </w:style>
  <w:style w:type="paragraph" w:styleId="CommentSubject">
    <w:name w:val="annotation subject"/>
    <w:basedOn w:val="CommentText"/>
    <w:next w:val="CommentText"/>
    <w:link w:val="CommentSubjectChar"/>
    <w:uiPriority w:val="99"/>
    <w:semiHidden/>
    <w:unhideWhenUsed/>
    <w:rsid w:val="00797B21"/>
    <w:rPr>
      <w:b/>
      <w:bCs/>
    </w:rPr>
  </w:style>
  <w:style w:type="character" w:customStyle="1" w:styleId="CommentSubjectChar">
    <w:name w:val="Comment Subject Char"/>
    <w:basedOn w:val="CommentTextChar"/>
    <w:link w:val="CommentSubject"/>
    <w:uiPriority w:val="99"/>
    <w:semiHidden/>
    <w:rsid w:val="00797B21"/>
    <w:rPr>
      <w:b/>
      <w:bCs/>
      <w:color w:val="000000"/>
      <w:sz w:val="20"/>
      <w:szCs w:val="20"/>
    </w:rPr>
  </w:style>
  <w:style w:type="character" w:customStyle="1" w:styleId="IgnoredEmptysubclauseChar">
    <w:name w:val="Ignored Empty subclause Char"/>
    <w:basedOn w:val="DefaultParagraphFont"/>
    <w:link w:val="IgnoredEmptysubclause"/>
    <w:rsid w:val="00711BC0"/>
    <w:rPr>
      <w:color w:val="000000"/>
    </w:rPr>
  </w:style>
  <w:style w:type="paragraph" w:customStyle="1" w:styleId="FE9FEA9CC0E94E0FA5EFE209CA58453E">
    <w:name w:val="FE9FEA9CC0E94E0FA5EFE209CA58453E"/>
    <w:rsid w:val="004B111E"/>
    <w:pPr>
      <w:spacing w:after="160" w:line="259" w:lineRule="auto"/>
    </w:pPr>
    <w:rPr>
      <w:color w:val="000000"/>
      <w:lang w:val="en-US" w:eastAsia="en-US"/>
    </w:rPr>
  </w:style>
  <w:style w:type="paragraph" w:styleId="Revision">
    <w:name w:val="Revision"/>
    <w:hidden/>
    <w:uiPriority w:val="99"/>
    <w:semiHidden/>
    <w:rsid w:val="00034F48"/>
    <w:pPr>
      <w:spacing w:after="0" w:line="240" w:lineRule="auto"/>
    </w:pPr>
    <w:rPr>
      <w:color w:val="000000"/>
    </w:rPr>
  </w:style>
  <w:style w:type="numbering" w:customStyle="1" w:styleId="ScheduleListStyle">
    <w:name w:val="ScheduleListStyle"/>
    <w:pPr>
      <w:numPr>
        <w:numId w:val="52"/>
      </w:numPr>
    </w:pPr>
  </w:style>
  <w:style w:type="numbering" w:customStyle="1" w:styleId="PartListStyle">
    <w:name w:val="PartListStyle"/>
    <w:pPr>
      <w:numPr>
        <w:numId w:val="56"/>
      </w:numPr>
    </w:pPr>
  </w:style>
  <w:style w:type="numbering" w:customStyle="1" w:styleId="ClauseListStyle">
    <w:name w:val="ClauseListStyle"/>
    <w:pPr>
      <w:numPr>
        <w:numId w:val="60"/>
      </w:numPr>
    </w:p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cdm:cachedDataManifest xmlns:cdm="http://schemas.microsoft.com/2004/VisualStudio/Tools/Applications/CachedDataManifest.xsd" cdm:revision="1"/>
</file>

<file path=customXml/item3.xml><?xml version="1.0" encoding="utf-8"?>
<n-document xmlns:xsd="http://www.w3.org/2001/XMLSchema" xmlns:xsi="http://www.w3.org/2001/XMLSchema-instance" guid="0" synced="true" validated="true">
  <n-docbody>
    <standard.doc precedenttype="agreement">
      <prelim>
        <product.name>product.name0</product.name>
        <title>Consultancy agreement (short form)</title>
        <author>
          <link href="https://uk.practicallaw.thomsonreuters.com/Browse/Home/About/OurTeamEmployment?__lrTS=20200213140641660&amp;amp;transitionType=Default&amp;amp;contextData=%28sc.Default%29" style="ACTLinkURL">
            <ital>Practical Law Employment</ital>
          </link>
        </author>
        <resource.type>Standard documents</resource.type>
        <juris>juris0</juris>
        <juris>juris1</juris>
      </prelim>
      <abstract>
        <para>
          <paratext>
            A short-form contract for services between an independent contractor (a self-employed individual) and a client company for the provision of consultancy services. 
            <lang val="en-GB">This contract is intended for use by clients when they are engaging a consultant to provide professional services and where the engagement will not be deemed employment for the purposes of the IR35 or off-payroll working rules because the consultant will not be providing their services via an intermediary.</lang>
          </paratext>
        </para>
        <para>
          <paratext>
            For a contract for services governed by Scots law, see 
            <link href="w-016-4747" style="ACTLinkPLCtoPLC">
              <ital>Standard document, Consultancy agreement (short form) (Scotland)</ital>
            </link>
            .
          </paratext>
        </para>
      </abstract>
      <toc.identifier hasToc="false"/>
      <body>
        <drafting.note id="a855276" jurisdiction="">
          <head align="left" preservecase="true">
            <headtext>About this document</headtext>
          </head>
          <division id="a000007" level="1">
            <para>
              <paratext>
                This standard document is a short-form 
                <link href="2-200-3109" style="ACTLinkPLCtoPLC">
                  <bold>
                    <ital>contract for services</ital>
                  </bold>
                </link>
                 between an independent contractor and a client (which is assumed to be a company in this standard document) for the provision of professional services. It is drafted in an informal letter format and may be appropriate to use for a junior consultant or a consultant appointed for a short-term engagement. For a long-form consultancy agreement, see 
                <link href="2-200-2143" style="ACTLinkPLCtoPLC">
                  <ital>Standard document, Consultancy agreement</ital>
                </link>
                . For a consultancy agreement via a service company, which takes into account deemed employment status for tax purposes under the IR35, off-payroll working and managed service companies regimes, see 
                <link href="7-200-2145" style="ACTLinkPLCtoPLC">
                  <ital>Standard document, Consultancy agreement via a service company</ital>
                </link>
                . This short-form consultancy agreement does not provide for the consultant to provide their services through an intermediary. As a result, we do not address these regimes in this document.
              </paratext>
            </para>
            <para>
              <paratext>If your client is the consultant rather than the company, keep in mind that this standard agreement is written in favour of the contracting company and amendment will therefore be required.</paratext>
            </para>
            <para>
              <paratext>
                The drafting notes in this document are an overview providing links to the relevant drafting notes accompanying 
                <link href="2-200-2143" style="ACTLinkPLCtoPLC">
                  <ital>Standard document, Consultancy agreement</ital>
                </link>
                . It is intended that the drafting notes in the two documents be read together. If you are engaging a consultant to provide services in an ad hoc way, which may involve the consultant providing certain services for short periods of time as and when required, you may find it helpful to read 
                <link anchor="a146588" href="2-200-2143" style="ACTLinkPLCtoPLC">
                  <ital>Standard document, Consultancy agreement: Drafting note: Consultants engaged on an ad hoc basis</ital>
                </link>
                .
              </paratext>
            </para>
            <division id="a515376" level="2">
              <head align="left" preservecase="true">
                <headtext>Legal issues</headtext>
              </head>
              <para>
                <paratext>
                  The main legal issues relate to the status of the consultant (that is, whether they are employed, a 
                  <link href="6-200-3640" style="ACTLinkPLCtoPLC">
                    <ital>worker</ital>
                  </link>
                   or self-employed for employment law purposes), the impact on taxation arrangements (tax tribunals determine employment status in a similar, but not identical, way to employment tribunals; see 
                  <link href="w-022-7907" style="ACTLinkPLCtoPLC">
                    <ital>Practice note, Employment status for tax purposes</ital>
                  </link>
                  ) and whether the consultant falls within the definition of a "commercial agent" for the purposes of the 
                  <link href="7-506-9241" style="ACTLinkPLCtoPLC">
                    <ital>Commercial Agents (Council Directive) Regulations 1993 (SI 1993/3053)</ital>
                  </link>
                  . See the comments on relevant legal issues in 
                  <link href="2-200-2143#a92994" style="ACTLinkPLCtoPLC">
                    <ital>Standard document, Consultancy agreement: Drafting note: Legal issues</ital>
                  </link>
                   for further commentary.
                </paratext>
              </para>
            </division>
            <division id="a945456" level="2">
              <head align="left" preservecase="true">
                <headtext>Use of AI by consultant</headtext>
              </head>
              <para>
                <paratext>If the consultant may be using AI, either directly or indirectly, in the provision of services to the client, the client should consider whether this is acceptable to it and what legal and practical issues may arise.</paratext>
              </para>
              <para>
                <paratext>
                  For a checklist of key contractual considerations when negotiating a commercial agreement for the provision of services, see 
                  <link href="w-044-6735" style="ACTLinkPLCtoPLC">
                    <ital>Use of AI in non-AI services contracts (UK): checklist</ital>
                  </link>
                  . While this standard consultancy agreement is not drafted on the basis that the consultant will be using AI and the checklist assumes that the agreement is between two businesses (rather than a business and an individual), it may nevertheless be a helpful starting point when tailoring this agreement to reflect the use of AI by the consultant.
                </paratext>
              </para>
            </division>
          </division>
        </drafting.note>
        <heading>
          <letterhead>
            <partyhead>company</partyhead>
          </letterhead>
          <addressees>
            <addressee>
              <address.line>[CONSULTANT'S NAME]</address.line>
              <address.line>[CONSULTANT'S ADDRESS]</address.line>
            </addressee>
          </addressees>
          <date>[DATE]</date>
          <salutation>Dear [CONSULTANT'S NAME]</salutation>
          <head align="left" preservecase="true">
            <headtext>Consultancy agreement</headtext>
          </head>
        </heading>
        <preamble>
          <para>
            <paratext>
              I am writing to confirm the terms of our agreement concerning the provision of your consultancy services to [NAME OF COMPANY] (
              <defn.term>Client</defn.term>
              ). In this letter, I refer to the Client as 'us', 'our' and 'we'.
            </paratext>
          </para>
        </preamble>
        <operative xrefname="clause">
          <clause id="a178779">
            <identifier>1.</identifier>
            <head align="left" preservecase="true">
              <headtext>Term</headtext>
            </head>
            <drafting.note id="a464834" jurisdiction="">
              <head align="left" preservecase="true">
                <headtext>Term</headtext>
              </head>
              <division id="a000008" level="1">
                <para>
                  <paratext>The engagement is drafted on the basis of an indefinite term.  The agreement can be terminated by either party giving the same period of notice to the other. However, the client may structure the engagement on a different basis (for example, by providing for the consultancy services to end on a specific date).</paratext>
                </para>
                <para>
                  <paratext>
                    For more information, see 
                    <link href="2-200-2143#a295569" style="ACTLinkPLCtoPLC">
                      <ital>Standard document, Consultancy agreement: Drafting note: Term of engagement</ital>
                    </link>
                    .
                  </paratext>
                </para>
              </division>
            </drafting.note>
            <subclause1 id="a95920">
              <para>
                <paratext>You shall provide your services to us from [DATE] unless and until this agreement is terminated by either party giving to the other not less than [NUMBER] weeks' prior written notice or as otherwise provided in this letter.</paratext>
              </para>
            </subclause1>
          </clause>
          <clause id="a875656">
            <identifier>2.</identifier>
            <head align="left" preservecase="true">
              <headtext>Duties</headtext>
            </head>
            <subclause1 id="a270866">
              <identifier>2.1</identifier>
              <para>
                <paratext>
                  You shall use your best endeavours to promote our interests [and those of any other company in our group] and, unless prevented by ill health or accident, devote at least [NUMBER] [hours 
                  <bold>OR</bold>
                   days] in each calendar month to carrying out the following services for us:
                </paratext>
              </para>
              <subclause2 id="a85238">
                <identifier>(a)</identifier>
                <para>
                  <paratext>
                    [DETAILS OF SERVICES] (
                    <defn.term>Services</defn.term>
                    ).
                  </paratext>
                </para>
                <drafting.note id="a554330" jurisdiction="">
                  <head align="left" preservecase="true">
                    <headtext>Scope of services</headtext>
                  </head>
                  <division id="a000009" level="1">
                    <para>
                      <paratext>
                        The clause assumes that the Services will be carried out for a fixed number of hours or days each month. See 
                        <link href="2-200-2143#a921722" style="ACTLinkPLCtoPLC">
                          <ital>Standard document, Consultancy agreement: Drafting note: Duties</ital>
                        </link>
                         for examples of the types of provision that should be included to indicate that the consultant is in business on their own account.
                      </paratext>
                    </para>
                    <division id="a879012" level="2">
                      <head align="left" preservecase="true">
                        <headtext>Deliverables-based approach</headtext>
                      </head>
                      <para>
                        <paratext>In practice, to reduce the risk of the consultant having employment status for employment law or tax purposes, the client should consider adopting a deliverables-based approach rather than a time-based approach. The reason for adopting a deliverables-based approach is that it means that fees are not payable based on time spent but instead on the achievement of specific deliverables. This more commercial approach can be contrasted to an employment relationship, where an employee is typically paid a basic salary by reference to the number of days they work.</paratext>
                      </para>
                      <para>
                        <paratext>
                          Adopting a deliverables-based approach would involve the client specifying genuine deliverables, setting clear milestones and providing for staged payments linked to achievement of the deliverables. For an example schedule providing for the achievement of specific deliverables, which could be used as a basis for a schedule to this short-form consultancy agreement, see 
                          <link anchor="a220591" href="2-200-2143" style="ACTLinkPLCtoPLC">
                            <ital>Standard document, Consultancy agreement: Services</ital>
                          </link>
                          .
                        </paratext>
                      </para>
                      <para>
                        <paratext>
                          If a deliverables-based approach is taken, 
                          <internal.reference refid="a270866">
                            <ital>clause 2.1</ital>
                          </internal.reference>
                           should be amended to refer to the services being provided in accordance with the relevant schedule to the agreement (the schedule number should also be referred to). In addition, the wording requiring the consultant to devote a minimum number of hours or days each month to carrying out the services should be deleted as this indicates a time-based, rather than a deliverables-based, approach. Clients should keep in mind that simply adopting a deliverables-based approach will not in itself mean that a consultant is self-employed for employment law or tax purposes. In addition, if the engagement of the consultant will be for a short period of time only (as this short-form agreement envisages), a deliverables-based approach may not be appropriate in practice.
                        </paratext>
                      </para>
                    </division>
                    <division id="a303404" level="2">
                      <head align="left" preservecase="true">
                        <headtext>Policies and procedures</headtext>
                      </head>
                      <para>
                        <paratext>
                          It will sometimes be appropriate for the consultant to comply with certain policies or procedures of the client, such as its social media or anti-bullying and harassment policies. Any relevant policies or procedures with which the consultant is required to comply should be set out in the agreement (see 
                          <internal.reference refid="a519472">
                            <ital>clause 2.3</ital>
                          </internal.reference>
                          ). As a general rule, however, these policies and procedures should be kept to minimum and not relate to day-to-day management issues such as discipline and performance. The latter type of policy indicates control over the consultant and will point towards employment status.
                        </paratext>
                      </para>
                    </division>
                  </division>
                </drafting.note>
              </subclause2>
            </subclause1>
            <subclause1 id="a907700">
              <identifier>2.2</identifier>
              <para>
                <paratext>If you are unable to provide the Services due to illness or injury, you shall notify [POSITION] as soon as reasonably practicable.</paratext>
              </para>
              <drafting.note id="a493228" jurisdiction="">
                <head align="left" preservecase="true">
                  <headtext>Notification of illness or injury</headtext>
                </head>
                <division id="a000010" level="1">
                  <para>
                    <paratext>
                      The client should consider removing 
                      <internal.reference refid="a907700">
                        <ital>clause 2.2</ital>
                      </internal.reference>
                       if there will be an unfettered right of substitution (see 
                      <internal.reference refid="a422109">
                        <ital>Drafting note, Appointment of substitute</ital>
                      </internal.reference>
                      ).
                    </paratext>
                  </para>
                </division>
              </drafting.note>
            </subclause1>
            <subclause1 id="a519472">
              <identifier>2.3</identifier>
              <para>
                <paratext>You must comply with our policies on [social media] [anti-harassment and bullying] [information and communication systems] [no smoking] [substance misuse] [equal opportunities] [OTHER RELEVANT POLICY].</paratext>
              </para>
            </subclause1>
            <subclause1 id="a174734">
              <identifier>2.4</identifier>
              <para>
                <paratext>
                  [With our prior written approval,] [You 
                  <bold>OR</bold>
                   you] may appoint a suitably qualified substitute to perform the Services on your behalf, provided that the substitute shall be required to enter into direct undertakings with us, including with regard to confidentiality. We will continue to pay you your fee as provided in 
                  <internal.reference refid="a727889">
                    <ital>clause 3.1</ital>
                  </internal.reference>
                   below and you shall be responsible for the remuneration of, and any expenses incurred by, the substitute. You will not be paid for any period during which neither you nor any substitute provide the Services. You will continue to be subject to all duties and obligations under this agreement for the duration of the appointment of the substitute.
                </paratext>
              </para>
            </subclause1>
            <subclause1 id="a939521">
              <identifier>2.5</identifier>
              <para>
                <paratext>
                  If a substitute is appointed, the provisions relating to sub-processor obligations under 
                  <internal.reference refid="a998725">
                    <ital>clause 6</ital>
                  </internal.reference>
                   will apply.
                </paratext>
              </para>
              <drafting.note id="a422109" jurisdiction="">
                <head align="left" preservecase="true">
                  <headtext>Appointment of substitute</headtext>
                </head>
                <division id="a000011" level="1">
                  <para>
                    <paratext>
                      Clause 2.4 provides for a substitute to be appointed (see 
                      <link href="2-200-2143#a921722" style="ACTLinkPLCtoPLC">
                        <ital>Standard document, Consultancy agreement: Drafting note: Appointment of substitute</ital>
                      </link>
                      ).
                    </paratext>
                  </para>
                </division>
              </drafting.note>
            </subclause1>
            <subclause1 id="a373634">
              <identifier>2.6</identifier>
              <para>
                <paratext>You shall ensure that you are available at all times on reasonable notice to provide such assistance or information as we may require.</paratext>
              </para>
              <drafting.note id="a169802" jurisdiction="">
                <head align="left" preservecase="true">
                  <headtext>Consultant's availability</headtext>
                </head>
                <division id="a000012" level="1">
                  <para>
                    <paratext>This clause requires the consultant to ensure they are available at all times on reasonable notice.</paratext>
                  </para>
                </division>
              </drafting.note>
            </subclause1>
            <subclause1 id="a1042512">
              <identifier>2.7</identifier>
              <para>
                <paratext>You have no authority (and shall not hold yourself out as having authority) to bind us, unless we have specifically permitted this in writing [in advance].</paratext>
              </para>
            </subclause1>
            <subclause1 id="a332794">
              <identifier>2.8</identifier>
              <para>
                <paratext>
                  You must comply with [our [ethics and] anti-bribery and anti-corruption policies and procedures 
                  <bold>AND/OR</bold>
                   the Bribery Act 2010].
                </paratext>
              </para>
              <drafting.note id="a226765" jurisdiction="">
                <head align="left" preservecase="true">
                  <headtext>Compliance with anti-bribery policy</headtext>
                </head>
                <division id="a000013" level="1">
                  <para>
                    <paratext>
                      This clause provides that the consultant must comply with the client's ethics and anti-bribery and anti-corruption policies or, if it does not have a written policy or policies, the requirements of the Bribery Act 2010. For a standard anti-corruption and bribery policy, see 
                      <link href="7-523-1412" style="ACTLinkPLCtoPLC">
                        <ital>Standard document, Anti-corruption and bribery policy (short form)</ital>
                      </link>
                      . For further information on the Bribery Act 2010, see 
                      <link href="9-503-9451" style="ACTLinkPLCtoPLC">
                        <ital>Bribery Act 2010: toolkit</ital>
                      </link>
                      .
                    </paratext>
                  </para>
                </division>
              </drafting.note>
            </subclause1>
            <subclause1 id="a998772">
              <identifier>2.9</identifier>
              <para>
                <paratext>
                  You must not engage in any activity, practice or conduct which would constitute either a UK tax evasion facilitation offence or a foreign tax evasion facilitation offence under the Criminal Finances Act 2017. [You must comply with our [anti-facilitation of tax evasion policy 
                  <bold>OR</bold>
                   anti-bribery and anti-corruption policies].]
                </paratext>
              </para>
              <drafting.note id="a508656" jurisdiction="">
                <head align="left" preservecase="true">
                  <headtext>Anti-facilitation of tax evasion</headtext>
                </head>
                <division id="a000014" level="1">
                  <para>
                    <paratext>
                      This clause provides that the consultant must not commit a UK or foreign tax evasion facilitation offence contrary to the 
                      <link href="w-008-5510" style="ACTLinkPLCtoPLC">
                        <ital>Criminal Finances Act 2017</ital>
                      </link>
                      . If the client has a tax evasion policy (which may be contained within a more general anti-bribery and anti-corruption policy or policies), the consultant is also required to comply with that. If the client's tax evasion policy is contained within its general ethics policy, amend 
                      <internal.reference refid="a998772">
                        <ital>clause 2.9</ital>
                      </internal.reference>
                       to refer to the client's ethics policy. For a document which could form the basis of an anti-facilitation of tax evasion policy, as part of an employer's prevention procedures, see 
                      <link href="https://uk.practicallaw.thomsonreuters.com/w-010-5333" style="ACTLinkURL">
                        <ital>Standard document, Anti-facilitation of tax evasion policy</ital>
                      </link>
                      . For further information on the 
                      <link href="w-008-5510" style="ACTLinkPLCtoPLC">
                        <ital>Criminal Finances Act 2017</ital>
                      </link>
                      , see 
                      <link href="w-007-8822" style="ACTLinkPLCtoPLC">
                        <ital>Practice note, Tax offences: failure to prevent facilitation of tax evasion</ital>
                      </link>
                      .
                    </paratext>
                  </para>
                </division>
              </drafting.note>
            </subclause1>
            <subclause1 id="a506356">
              <identifier>2.10</identifier>
              <para>
                <paratext>
                  You must not engage in any activity, practice or conduct which would constitute fraud, including but not limited to a fraud offence under section 199(6) of the Economic Crime and Corporate Transparency Act 2023. [You must comply with our [ethics, anti-bribery and anti-corruption policies 
                  <bold>OR </bold>
                  anti-fraud policy].]
                </paratext>
              </para>
              <drafting.note id="a507721" jurisdiction="">
                <head align="left" preservecase="true">
                  <headtext>Prevention of fraud</headtext>
                </head>
                <division id="a000015" level="1">
                  <para>
                    <paratext>
                      This clause provides that the consultant must not engage in any activity, practice or conduct which would constitute fraud, including but not limited to a fraud offence under section 199(6) of the the 
                      <link href="w-041-1867" style="ACTLinkPLCtoPLC">
                        <ital>Economic Crime and Corporate Transparency Act 2023</ital>
                      </link>
                       (ECCTA 2023). 
                      <link href="https://uk.practicallaw.thomsonreuters.com/Document/IBBD3178076D111EE82AC970126BCC564/View/FullText.html" style="ACTLinkURL">
                        <ital>Section 199</ital>
                      </link>
                       of ECCTA 2023 contains the corporate offence of failing to prevent fraud. From 1 September 2025, large organisations (and their subsidiaries) may be held criminally liable where an employee, agent, subsidiary or other "associated person" commits a relevant fraud offence intending to benefit the organisation. This could include a consultant. Under ECCTA, a person is associated with a relevant body (an associated person) if the person:
                    </paratext>
                  </para>
                  <list type="bulleted">
                    <list.item>
                      <para>
                        <paratext>Is an employee, agent or subsidiary undertaking of the relevant body.</paratext>
                      </para>
                    </list.item>
                    <list.item>
                      <para>
                        <paratext>Performs services for or on behalf of the relevant body.</paratext>
                      </para>
                    </list.item>
                  </list>
                  <para>
                    <paratext>
                      "Associated person" is therefore defined widely enough to catch many service providers, including consultants. However, the position is not always clear cut. See 
                      <link anchor="a459962" href="w-046-8564" style="ACTLinkPLCtoPLC">
                        <ital>Practice note, ECCTA 2023: failure to prevent fraud offence: application to commercial relationships: Associated person</ital>
                      </link>
                       for more detailed commentary on this issue. Even if the client is not within the scope of the failure to prevent fraud provisions in ECCTA, or the relationship is not caught because the consultant is not an associated person, there are good ethics and compliance reasons to include an anti-fraud provision in a consultancy agreement.
                    </paratext>
                  </para>
                  <para>
                    <paratext>
                      If the client has an anti-fraud policy or other policy addressing fraud, 
                      <internal.reference refid="a506356">
                        <ital>clause 2.10</ital>
                      </internal.reference>
                       requires the consultant to comply with that policy. Other than perhaps in the financial services sector, many organisations are unlikely to have a standalone anti-fraud policy. Anti-fraud policies may instead form part of a wider ethics policy, code of ethics or anti-bribery and anti-corruption policy or policies.
                    </paratext>
                  </para>
                  <para>
                    <paratext>
                      For further information on the 
                      <link href="w-041-1867" style="ACTLinkPLCtoPLC">
                        <ital>Economic Crime and Corporate Transparency Act 2023</ital>
                      </link>
                       and the failure to prevent fraud offence, see 
                      <link anchor="a382053" href="7-520-0316" style="ACTLinkPLCtoPLC">
                        <ital>Practice notes, Consultants: Economic Crime and Corporate Transparency Act 2023</ital>
                      </link>
                      , 
                      <link href="w-039-9590" style="ACTLinkPLCtoPLC">
                        <ital>ECCTA 2023: failure to prevent fraud offence</ital>
                      </link>
                       and 
                      <link href="w-046-8564" style="ACTLinkPLCtoPLC">
                        <ital>ECCTA 2023: failure to prevent fraud offence: application to commercial relationships</ital>
                      </link>
                      .
                    </paratext>
                  </para>
                </division>
              </drafting.note>
            </subclause1>
          </clause>
          <clause id="a1035876">
            <identifier>3.</identifier>
            <head align="left" preservecase="true">
              <headtext>Fees and expenses</headtext>
            </head>
            <subclause1 id="a727889">
              <identifier>3.1</identifier>
              <para>
                <paratext>
                  We will pay you a fee of £[AMOUNT] per [hour 
                  <bold>OR</bold>
                   day] [exclusive 
                  <bold>OR</bold>
                   inclusive] of VAT. You shall submit invoices to us on a monthly basis setting out the hours that you have worked for us during the preceding month and any VAT payable (if applicable). We will pay such invoices [within [NUMBER] weeks of receipt 
                  <bold>OR</bold>
                   in accordance with our usual payment terms].
                </paratext>
              </para>
              <drafting.note id="a1020263" jurisdiction="">
                <head align="left" preservecase="true">
                  <headtext>Fees</headtext>
                </head>
                <division id="a000016" level="1">
                  <para>
                    <paratext>
                      This clause provides for the consultant to submit monthly invoices to the client setting out the number of hours or days worked in the previous month. For general commentary in relation to consultancy fees, see 
                      <link href="2-200-2143#a421416" style="ACTLinkPLCtoPLC">
                        <ital>Standard document, Consultancy agreement: Drafting note: Fees</ital>
                      </link>
                      .
                    </paratext>
                  </para>
                  <division id="a161786" level="2">
                    <head align="left" preservecase="true">
                      <headtext>Staged payments</headtext>
                    </head>
                    <para>
                      <paratext>
                        If a deliverables-based approach is taken (see 
                        <internal.reference refid="a879012">
                          <ital>Drafting note, Deliverables-based approach</ital>
                        </internal.reference>
                        ), payments should be staged and linked to achievement of the specific deliverables. For an example clause providing for staged payments (which can be adapted for inclusion in this letter), see 
                        <link anchor="a675508" href="2-200-2143" style="ACTLinkPLCtoPLC">
                          <ital>Standard document, Consultancy agreement: clause 4.1</ital>
                        </link>
                        . If provision is made for staged payments, the wording of clause 3.1 should be deleted and replaced with the appropriate staged payments wording.
                      </paratext>
                    </para>
                  </division>
                </division>
              </drafting.note>
            </subclause1>
            <subclause1 id="a901119">
              <identifier>3.2</identifier>
              <para>
                <paratext>
                  [We shall reimburse [your reasonable expenses incurred in providing the Services 
                  <bold>OR</bold>
                   those expenses agreed with us in advance as necessary for the proper performance of the Services] within [NUMBER] weeks of receipt of your invoice and all relevant receipts, or other evidence as we may reasonably require, to support the expense in each case 
                  <bold>OR</bold>
                   You shall bear your own expenses].
                </paratext>
              </para>
              <drafting.note id="a84352" jurisdiction="">
                <head align="left" preservecase="true">
                  <headtext>Expenses</headtext>
                </head>
                <division id="a000017" level="1">
                  <para>
                    <paratext>The client will need to decide whether or not it will reimburse the consultant's expenses.</paratext>
                  </para>
                </division>
              </drafting.note>
            </subclause1>
            <subclause1 id="a362187">
              <identifier>3.3</identifier>
              <para>
                <paratext>We are entitled to deduct from the fees (and any other sums) payable to you any sums that you may owe us [or any other company in our group] at any time.</paratext>
              </para>
              <drafting.note id="a661143" jurisdiction="">
                <head align="left" preservecase="true">
                  <headtext>Deductions</headtext>
                </head>
                <division id="a000018" level="1">
                  <para>
                    <paratext>
                      This clause deals with deductions from the consultant's fee (see 
                      <link href="2-200-2143#a421416" style="ACTLinkPLCtoPLC">
                        <ital>Standard document, Consultancy agreement: Drafting note: Deductions</ital>
                      </link>
                      ).
                    </paratext>
                  </para>
                </division>
              </drafting.note>
            </subclause1>
          </clause>
          <clause id="a792031">
            <identifier>4.</identifier>
            <head align="left" preservecase="true">
              <headtext>Other activities</headtext>
            </head>
            <drafting.note id="a383429" jurisdiction="">
              <head align="left" preservecase="true">
                <headtext>Other activities</headtext>
              </head>
              <division id="a000019" level="1">
                <para>
                  <paratext>
                    This clause sets out the extent to which the consultant will be permitted to carry out other activities during the course of the engagement (see 
                    <link href="2-200-2143#a558235" style="ACTLinkPLCtoPLC">
                      <ital>Standard document, Consultancy agreement: Drafting note: Other activities</ital>
                    </link>
                    ).The greater the number of restrictions placed on the consultant's activities, the more likely a finding of employment status for employment law and tax purposes.
                  </paratext>
                </para>
              </division>
            </drafting.note>
            <subclause1 id="a909023">
              <para>
                <paratext>You may be engaged, employed or concerned in any other business, trade, profession or other activity which does not place you in a conflict of interest with us. However, you may not be involved in any capacity with a business which does or could compete with our business without the prior written consent of [POSITION] [(such consent not to be unreasonably withheld)].</paratext>
              </para>
            </subclause1>
          </clause>
          <clause id="a614506">
            <identifier>5.</identifier>
            <head align="left" preservecase="true">
              <headtext>[Confidential information</headtext>
            </head>
            <drafting.note id="a618418" jurisdiction="">
              <head align="left" preservecase="true">
                <headtext>Confidential information (optional clause)</headtext>
              </head>
              <division id="a000020" level="1">
                <para>
                  <paratext>
                    This clause prevents the consultant from using, copying and disclosing confidential information. Provisions requiring the consultant to return confidential information on termination of the engagement are included in 
                    <internal.reference refid="a607250">
                      <ital>clause 10</ital>
                    </internal.reference>
                    .
                  </paratext>
                </para>
                <para>
                  <paratext>
                    This is a short-form confidentiality clause. If more detailed confidentiality wording is required, see 
                    <link anchor="a504848" href="2-200-2143" style="ACTLinkPLCtoPLC">
                      <ital>Standard document, Consultancy agreement: Clause 7: Confidential information</ital>
                    </link>
                    .
                  </paratext>
                </para>
                <para>
                  <paratext>
                    In the light of the #MeToo controversy, the use of confidentiality clauses (commonly referred to as non-disclosure agreements or NDAs) has come under increasing scrutiny. There is a regulatory framework imposing specific duties on solicitors who are advising on NDAs, including a 
                    <link href="https://www.sra.org.uk/solicitors/guidance/non-disclosure-agreements-ndas/" style="ACTLinkURL">
                      <ital>Warning Notice</ital>
                    </link>
                     by the SRA which explains when an NDA is likely to be improperly used. Additionally, guidance on the use of NDAs has been published by the 
                    <link href="https://uk.practicallaw.thomsonreuters.com/4-376-5234?originationContext=document&amp;amp;transitionType=DocumentItem&amp;amp;contextData=(sc.Default)&amp;amp;ppcid=46ee4432f66546a9b802f8d165e74737" style="ACTLinkURL">
                      <ital>Equality and Human Rights Commission</ital>
                    </link>
                     and 
                    <link href="https://uk.practicallaw.thomsonreuters.com/5-200-3023?originationContext=document&amp;amp;transitionType=DocumentItem&amp;amp;contextData=(sc.Default)&amp;amp;ppcid=46ee4432f66546a9b802f8d165e74737" style="ACTLinkURL">
                      <ital>Acas</ital>
                    </link>
                     (see 
                    <link href="w-022-4389" style="ACTLinkPLCtoPLC">
                      <ital>Practice note, Non-disclosure agreements (NDAs) and confidentiality clauses</ital>
                    </link>
                    ). Practitioners must bear in mind these obligations when drafting and advising on this clause.
                  </paratext>
                </para>
                <para>
                  <paratext>
                    <lang val="en-US">The SRA's Warning Notice states that:</lang>
                  </paratext>
                </para>
                <list type="bulleted">
                  <list.item>
                    <para>
                      <paratext>
                        <lang val="en-US">NDAs should not be used routinely. Firms and clients should consider carefully whether an NDA is necessary given the specific circumstances of the case.</lang>
                      </paratext>
                    </para>
                  </list.item>
                  <list.item>
                    <para>
                      <paratext>
                        <lang val="en-US">Those dealing with NDAs should not become over-reliant on NDA templates and complacent about the risks. Templates should always be specifically tailored to the individual circumstances of each case.</lang>
                      </paratext>
                    </para>
                  </list.item>
                </list>
                <para>
                  <paratext>
                    <lang val="en-US">We have therefore made </lang>
                    <internal.reference refid="a614506">
                      <ital>
                        <lang val="en-US">clause 5</lang>
                      </ital>
                    </internal.reference>
                    <lang val="en-US"> optional so that a proactive decision must be made to include it. If this clause is included, practitioners should consider whether each separate provision is necessary and how it can be tailored to the specific individual. For further information on best practice when drafting and advising on NDAs, see </lang>
                    <link anchor="a339684" href="w-022-4389" style="ACTLinkPLCtoPLC">
                      <ital>
                        <lang val="en-US">Practice note, Non-disclosure agreements (NDAs) and confidentiality clauses : NDAs: best practice</lang>
                      </ital>
                    </link>
                    <lang val="en-US">.</lang>
                  </paratext>
                </para>
                <para>
                  <paratext>
                    In particular, the client should ensure that the definition of "confidential information" is appropriate for its business (see 
                    <link anchor="a378057" href="2-200-2143" style="ACTLinkPLCtoPLC">
                      <ital>Standard document, Consultancy agreement: Drafting note: Confidential information</ital>
                    </link>
                    ).
                  </paratext>
                </para>
                <para>
                  <paratext>
                    If 
                    <internal.reference refid="a614506">
                      <ital>clause 5</ital>
                    </internal.reference>
                     is not included, the client should be aware that protection for its confidential information will be extremely limited. The consultant will not owe the client any implied duty of confidentiality (see 
                    <link anchor="a384883" href="7-520-0316" style="ACTLinkPLCtoPLC">
                      <ital>Practice note, Consultants: Confidentiality</ital>
                    </link>
                    ), so there will be no contractual protection at all without an express clause. In certain circumstances, some statutory protection may be provided by the 
                    <link href="w-014-9127" style="ACTLinkPLCtoPLC">
                      <ital>Trade Secrets (Enforcement, etc.) Regulations 2018 (SI 2018/597)</ital>
                    </link>
                    , but even if applicable this will only cover information meeting the statutory definition of a trade secret (see 
                    <link anchor="a977129" href="8-201-8805" style="ACTLinkPLCtoPLC">
                      <ital>Practice note, Confidentiality during employment and after termination: Trade Secrets Regulations</ital>
                    </link>
                    ).
                  </paratext>
                </para>
                <para>
                  <paratext>
                    For further information about legal issues relevant to drafting this provision, see 
                    <link anchor="a378057" href="2-200-2143" style="ACTLinkPLCtoPLC">
                      <ital>Standard document, Consultancy agreement: Drafting note: Confidential information</ital>
                    </link>
                    .
                  </paratext>
                </para>
              </division>
            </drafting.note>
            <subclause1 id="a596589">
              <identifier>5.1</identifier>
              <para>
                <paratext>
                  In this 
                  <internal.reference refid="a614506">
                    <ital>clause 5</ital>
                  </internal.reference>
                  , 
                  <bold>confidential information</bold>
                   shall mean information in whatever form (including in written, oral, visual or electronic form or on any magnetic or optical disk or memory) and wherever located relating to our business, clients, customers, suppliers, products, assets, affairs and finances that is confidential to us and trade secrets relating to our business or any of our suppliers, clients, customers, agents, distributors, shareholders, management or business contacts, including technical data and know-how [ADD SPECIFIC EXAMPLES AS NECESSARY], that you create, develop, receive or obtain in connection with the engagement, whether or not such information is marked confidential.
                </paratext>
              </para>
            </subclause1>
            <subclause1 id="a333652">
              <identifier>5.2</identifier>
              <para>
                <paratext>You shall not [and you shall procure that any substitute shall not] (except in the proper course of providing the Services, as authorised or required by law, or as authorised by us), either during or at any time after your engagement, use any confidential information, make or use any copies of any confidential information or disclose any confidential information.</paratext>
              </para>
            </subclause1>
            <subclause1 id="a369800">
              <identifier>5.3</identifier>
              <para>
                <paratext>
                  The restriction in 
                  <internal.reference refid="a333652">
                    <ital>clause 5.2</ital>
                  </internal.reference>
                   does not apply to any confidential information which is or comes into the public domain other than though your unauthorised disclosure.
                </paratext>
              </para>
            </subclause1>
            <subclause1 id="a536210">
              <identifier>5.4</identifier>
              <para>
                <paratext>
                  Nothing in this 
                  <internal.reference refid="a614506">
                    <ital>clause 5</ital>
                  </internal.reference>
                   shall prevent you from:
                </paratext>
              </para>
              <subclause2 id="a378469">
                <identifier>(a)</identifier>
                <para>
                  <paratext>reporting a suspected criminal offence to the police or any law enforcement agency or co-operating with the police or any law enforcement agency regarding a criminal investigation or prosecution;</paratext>
                </para>
              </subclause2>
              <subclause2 id="a381612">
                <identifier>(b)</identifier>
                <para>
                  <paratext>doing or saying anything that is required by HMRC or a regulator, ombudsman or supervisory authority;</paratext>
                </para>
              </subclause2>
              <subclause2 id="a472193">
                <identifier>(c)</identifier>
                <para>
                  <paratext>whether required by law or not, making a disclosure to, or co-operating with any investigation by, HMRC or a regulator, ombudsman or supervisory authority regarding any misconduct, wrongdoing or serious breach of regulatory requirements (including giving evidence at a hearing);</paratext>
                </para>
              </subclause2>
              <subclause2 id="a153280">
                <identifier>(d)</identifier>
                <para>
                  <paratext>complying with an order from a court or tribunal to disclose or give evidence;</paratext>
                </para>
              </subclause2>
              <subclause2 id="a846325">
                <identifier>(e)</identifier>
                <para>
                  <paratext>disclosing information to HMRC for the purposes of establishing and paying (or recouping) tax liabilities arising from your engagement;</paratext>
                </para>
              </subclause2>
              <subclause2 id="a406481">
                <identifier>(f)</identifier>
                <para>
                  <paratext>disclosing information to any person who owes you a duty of confidentiality (which you agree not to waive) in respect of information disclosed to them, including legal or tax advisers and persons providing you with medical, therapeutic, counselling or support services; or</paratext>
                </para>
              </subclause2>
              <subclause2 id="a170840">
                <identifier>(g)</identifier>
                <para>
                  <paratext>making any other disclosure as required by law.]</paratext>
                </para>
                <drafting.note id="a105387" jurisdiction="">
                  <head align="left" preservecase="true">
                    <headtext>Confidentiality "carve-outs"</headtext>
                  </head>
                  <division id="a000021" level="1">
                    <para>
                      <paratext>
                        The carve-outs in 
                        <internal.reference refid="a536210">
                          <ital>clause 5.4</ital>
                        </internal.reference>
                         reflect common practice for employees rather than self-employed independent consultants. However, it also reflects the SRA's Warning Notice on the use of NDAs. For this reason, we have not marked any of the suggested carve-outs as optional. However, what is appropriate may be different in each case. When drafting and advising on appropriate carve-outs, solicitors must bear in mind their regulatory obligations (see 
                        <internal.reference refid="a618418">
                          <ital>Drafting note, Confidential information (optional clause)</ital>
                        </internal.reference>
                        ).
                      </paratext>
                    </para>
                    <para>
                      <paratext>
                        For further information about carve-outs, see 
                        <link anchor="a897319" href="9-200-2130" style="ACTLinkPLCtoPLC">
                          <ital>Standard clause, Confidentiality clause (long-form): Drafting note: Confidentiality "carve-outs"</ital>
                        </link>
                        .
                      </paratext>
                    </para>
                  </division>
                </drafting.note>
              </subclause2>
            </subclause1>
          </clause>
          <clause id="a998725">
            <identifier>6.</identifier>
            <head align="left" preservecase="true">
              <headtext>Data protection</headtext>
            </head>
            <drafting.note id="a998900" jurisdiction="">
              <head align="left" preservecase="true">
                <headtext>Data protection</headtext>
              </head>
              <division id="a000022" level="1">
                <para>
                  <paratext>
                    <lang val="en-US">The data protection legislation in the UK comprises the retained EU law version of the General Data Protection Regulation (EU) </lang>
                    <ital>
                      <lang val="en-US">2016/679</lang>
                    </ital>
                    <lang val="en-US"> (UK GDPR) and the Data Protection Act 2018 (DPA 2018).</lang>
                  </paratext>
                </para>
                <para>
                  <paratext>
                    <lang val="en-US">For information on the UK GDPR and the DPA 2018, as well as the extra-territorial effect of the General Data Protection Regulation (EU) </lang>
                    <ital>
                      <lang val="en-US">2016/679</lang>
                    </ital>
                    <lang val="en-US"> (EU GDPR), see </lang>
                    <link href="w-010-3418" style="ACTLinkPLCtoPLC">
                      <ital>
                        <lang val="en-US">Practice note, UK GDPR and DPA 2018: an overview for employment lawyers</lang>
                      </ital>
                    </link>
                    <lang val="en-US">.</lang>
                  </paratext>
                </para>
                <para>
                  <paratext>
                    The UK GDPR imposes direct obligations on a processor. A processor is defined as a natural or legal person, public authority, agency or other body which processes personal data on behalf of a data controller (
                    <ital>Article 4(8), UK GDPR</ital>
                    ).
                  </paratext>
                </para>
                <para>
                  <paratext>
                    <internal.reference refid="a135114">
                      <ital>clause 6.1</ital>
                    </internal.reference>
                     refers to the privacy notice, which the client must provide to the consultant under the UK GDPR, setting out details of how the client will use information about the consultant. For an example privacy notice, see 
                    <link href="w-011-4217" style="ACTLinkPLCtoPLC">
                      <ital>Standard document, UK GDPR Privacy notice for employees, workers and contractors</ital>
                    </link>
                    .
                  </paratext>
                </para>
                <para>
                  <paratext>
                    Depending on what the consultant's services are, they may be a processor.  If they are, they will be subject to certain obligations and there are certain terms which must be included in the consultancy agreement.  
                    <internal.reference refid="a676927">
                      <ital>clause 6.2</ital>
                    </internal.reference>
                     to 
                    <internal.reference refid="a438453">
                      <ital>clause 6.8</ital>
                    </internal.reference>
                     reflect the UK GDPR requirements for written provisions to be in place between a controller and a processor.
                  </paratext>
                </para>
                <para>
                  <paratext>
                    <internal.reference refid="a972075">
                      <ital>clause 6.6</ital>
                    </internal.reference>
                     reflects the requirement in the UK GDPR for a processor to implement appropriate technical and organisational measures to secure personal data (
                    <ital>Articles 28 and 32</ital>
                    ).
                  </paratext>
                </para>
                <para>
                  <paratext>
                    The first option in 
                    <internal.reference refid="a854999">
                      <ital>clause 6.7</ital>
                    </internal.reference>
                     is relevant if there is no ability for the consultant to appoint a substitute (see the optional wording at 
                    <internal.reference refid="a174734">
                      <ital>clause 2.4</ital>
                    </internal.reference>
                    ). If the consultant is a processor and will be able to appoint a substitute or any sub-processor, the second option is relevant. 
                    <link href="https://uk.westlaw.com/Document/ID9E16550149911E9A3ACBD4240CE8204/View/FullText.html" style="ACTLinkURL">
                      <ital>Article 28(2)</ital>
                    </link>
                     of the 
                    <link href="https://uk.practicallaw.thomsonreuters.com/w-027-1020?originationContext=document&amp;amp;transitionType=PLDocumentLink&amp;amp;contextData=(sc.Default)" style="ACTLinkURL">UK GDPR</link>
                     contains restrictions to prevent processors from engaging sub-processors without the prior specific or general written authorisation of the controller. We have assumed that the client is the controller and the consultant is a processor. The restrictions apply to any substitute who would be considered a sub-processor under the UK GDPR. In the case of a general written authorisation to engage sub-processors, the processor (consultant) must inform the controller (client) of any intended changes to existing sub-processors or new sub-processors (including, where relevant, any substitutes) and give it the right (and time) to object to these changes. The client may exercise its right for a specific written authorisation prior to the engagement of any sub-processor by the processor (including, where relevant, any substitutes). However, the requirements of Article 28(2) of the UK GDPR sit somewhat awkwardly alongside the benefits of having an unfettered right of substitution for employment law and tax purposes. For commentary on this point, see 
                    <link anchor="a245437" href="2-200-2143" style="ACTLinkPLCtoPLC">
                      <ital>Standard document, Consultancy agreement: Drafting note: Appointment of substitute (optional clause)</ital>
                    </link>
                    .
                  </paratext>
                </para>
                <para>
                  <paratext>
                    Depending on the risks identified under the UK GDPR owing to the nature of the personal data and/or data subjects, a client and consultant or the consultant (processor) and sub-processor may wish to execute a separate data processing agreement under this agreement (see, for example, 
                    <link href="w-013-2951" style="ACTLinkPLCtoPLC">
                      <ital>Standard document, Data processing agreement (controller-to-processor) (UK to non-EEA)</ital>
                    </link>
                    ).
                  </paratext>
                </para>
                <para>
                  <paratext>
                    Certain types of consultant may be a controller and the Information Commissioner's Office (ICO), in its guidance, sets out examples of when a consultant might be considered to be a controller (see 
                    <link href="https://ico.org.uk/media/for-organisations/documents/1546/data-controllers-and-data-processors-dp-guidance.pdf" style="ACTLinkURL">
                      <ital>Data controllers and data processors: what the difference is and what the governance implications are</ital>
                    </link>
                    , page 9). While this guidance was produced for the purposes of the DPA 1998, it is still relevant to the definitions contained in the UK GDPR and the DPA 2018. For the purposes of this agreement, however, we have assumed that the client is the controller and the consultant is a processor, if they are anything at all.
                  </paratext>
                </para>
                <para>
                  <paratext>
                    <internal.reference refid="a438453">
                      <ital>clause 6.8</ital>
                    </internal.reference>
                     is drafted widely in favour of the client. If acting for the consultant, consider whether liability should be limited (for example, by excluding liability where the consultant can prove it has not acted contrary to the client’s instruction or is in no way responsible for the event giving rise to the damage). Similarly, consider whether the liability provision at the end of 
                    <internal.reference refid="a854999">
                      <ital>clause 6.7</ital>
                    </internal.reference>
                     should be limited to where the sub-processor fails to fulfil its obligations under the written agreement with the consultant which contains terms substantially the same as those set out in this agreement (see 
                    <link anchor="a907170" href="w-013-2951" style="ACTLinkPLCtoPLC">
                      <ital>Standard document, Data processing agreement (controller-to-processor) (UK to non-EEA): Clause 8.4</ital>
                    </link>
                    ).
                  </paratext>
                </para>
                <division id="a000023" level="2">
                  <division id="a397347" level="3">
                    <head align="left" preservecase="true">
                      <headtext>Dual data protection regimes from 1 January 2021 and transfers of personal data outside the UK</headtext>
                    </head>
                    <para>
                      <paratext>
                        This consultancy agreement has been drafted on the basis that the consultant will be subject to the UK data protection regime only. However, the EU GDPR will continue to have extra-territorial effect, meaning that it may continue to apply to UK suppliers who act as 
                        <link href="https://uk.practicallaw.thomsonreuters.com/5-107-5723?originationContext=document&amp;amp;transitionType=DocumentItem&amp;amp;contextData=(sc.Default)" style="ACTLinkURL">
                          <ital>controllers</ital>
                        </link>
                         or 
                        <link href="https://uk.practicallaw.thomsonreuters.com/2-384-8947?originationContext=document&amp;amp;transitionType=DocumentItem&amp;amp;contextData=(sc.Default)" style="ACTLinkURL">
                          <ital>processors</ital>
                        </link>
                         and have an establishment in the EU, or who offer goods or services to data subjects in the EU. Some suppliers of consultancy services may, therefore, find themselves subject to parallel data protection regimes under the UK GDPR and the EU GDPR (see 
                        <link href="w-026-2740" style="ACTLinkPLCtoPLC">
                          <ital>Practice note, Brexit post-transition period: data protection (UK): Determining which regimes apply</ital>
                        </link>
                        ). If this is the case, the definition of Data Protection Legislation should be expanded to expressly refer to the EU GDPR and any other European Union legislation relating to personal data.
                      </paratext>
                    </para>
                    <para>
                      <paratext>
                        If the consultant may be transferring personal data outside of the UK, the second optional wording set out in 
                        <internal.reference refid="a750117">
                          <ital>clause 6.5(d)</ital>
                        </internal.reference>
                         should be used. However, in many cases, we anticipate that the client will not want data to be transferred outside of the UK.
                      </paratext>
                    </para>
                  </division>
                </division>
              </division>
            </drafting.note>
            <subclause1 id="a135114">
              <identifier>6.1</identifier>
              <para>
                <paratext>
                  We will collect and process information relating to you in accordance with the privacy notice which is [on the intranet 
                  <bold>OR</bold>
                   annexed to this agreement].
                </paratext>
              </para>
            </subclause1>
            <subclause1 id="a676927">
              <identifier>6.2</identifier>
              <para>
                <paratext>
                  For the purposes of this clause, Data Protection Legislation includes all applicable data protection and privacy legislation in force from time to time in the UK including the retained EU law version of the General Data Protection Regulation ((EU) 2016/679) (UK GDPR), the Data Protection Act 2018 (and regulations made thereunder)
                  <ital> </ital>
                  or any successor legislation, and all other legislation and regulatory requirements in force from time to time which apply to a party relating to the use of personal data (including, without limitation, the privacy of electronic communications).
                </paratext>
              </para>
            </subclause1>
            <subclause1 condition="optional" id="a186429">
              <identifier>6.3</identifier>
              <para>
                <paratext>You and we acknowledge that for the purposes of the Data Protection Legislation, we are the controller and you are the processor.</paratext>
              </para>
            </subclause1>
            <subclause1 condition="optional" id="a441191">
              <identifier>6.4</identifier>
              <para>
                <paratext>The schedule to this agreement sets out the scope, nature and purpose of the processing by you, the duration of the processing and the types of personal data (as defined in the Data Protection Legislation (Personal Data)) and categories of data subject.</paratext>
              </para>
            </subclause1>
            <subclause1 condition="optional" id="a582024">
              <identifier>6.5</identifier>
              <para>
                <paratext>You shall, in relation to any Personal Data processed:</paratext>
              </para>
              <subclause2 id="a923977">
                <identifier>(a)</identifier>
                <para>
                  <paratext>process that Personal Data only on our written instructions;</paratext>
                </para>
              </subclause2>
              <subclause2 id="a161716">
                <identifier>(b)</identifier>
                <para>
                  <paratext>keep the Personal Data confidential;</paratext>
                </para>
              </subclause2>
              <subclause2 id="a430313">
                <identifier>(c)</identifier>
                <para>
                  <paratext>comply with our reasonable instructions with respect to processing Personal Data and with our [privacy standard OR data protection policy] [data retention guidelines] [LIST OTHER POLICIES];</paratext>
                </para>
              </subclause2>
              <subclause2 id="a750117">
                <identifier>(d)</identifier>
                <para>
                  <paratext>[not transfer any Personal Data outside of the UK;</paratext>
                </para>
                <para>
                  <paratext>
                    <bold>OR</bold>
                  </paratext>
                </para>
                <para>
                  <paratext>not transfer any Personal Data outside of the UK unless, in accordance with the Data Protection Legislation, you ensure that (i) the transfer is to a country approved as providing an adequate level of protection for Personal Data; or (ii) there are appropriate safeguards in place for the transfer of Personal Data; or (iii) binding corporate rules are in place; or (iv) one of the derogations for specific situations applies to the transfer;]</paratext>
                </para>
              </subclause2>
              <subclause2 id="a516337">
                <identifier>(e)</identifier>
                <para>
                  <paratext>assist us [at our cost] in responding to any data subject access request and to ensure compliance with our obligations under the Data Protection Legislation with respect to security, breach notifications, privacy impact assessments and consultations with supervisory authorities or regulators;</paratext>
                </para>
              </subclause2>
              <subclause2 id="a226835">
                <identifier>(f)</identifier>
                <para>
                  <paratext>notify us without undue delay on becoming aware of a Personal Data breach or communication which relates to your or our compliance with the Data Protection Legislation;</paratext>
                </para>
              </subclause2>
              <subclause2 id="a753910">
                <identifier>(g)</identifier>
                <para>
                  <paratext>at our written request, delete or return Personal Data (and any copies of the same) to us on termination of this agreement unless required by the Data Protection Legislation to store the Personal Data; and</paratext>
                </para>
              </subclause2>
              <subclause2 id="a675151">
                <identifier>(h)</identifier>
                <para>
                  <paratext>maintain complete and accurate records and information to demonstrate compliance with this clause [6] [and allow for audits by us or our designated auditor.</paratext>
                </para>
              </subclause2>
            </subclause1>
            <subclause1 condition="optional" id="a972075">
              <identifier>6.6</identifier>
              <para>
                <paratext>You shall ensure that you have in place appropriate technical or organisational measures, reviewed and approved by us,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Such measures may include, where appropriate:</paratext>
              </para>
              <subclause2 id="a419158">
                <identifier>(a)</identifier>
                <para>
                  <paratext>pseudonymising and encrypting Personal Data;</paratext>
                </para>
              </subclause2>
              <subclause2 id="a516894">
                <identifier>(b)</identifier>
                <para>
                  <paratext>ensuring confidentiality, integrity, availability and resilience of its systems and services;</paratext>
                </para>
              </subclause2>
              <subclause2 id="a805561">
                <identifier>(c)</identifier>
                <para>
                  <paratext>ensuring that availability of and access to Personal Data can be restored in a timely manner after an incident; and</paratext>
                </para>
              </subclause2>
              <subclause2 id="a688816">
                <identifier>(d)</identifier>
                <para>
                  <paratext>regularly assessing and evaluating the effectiveness of the technical and organisational measures adopted by it.</paratext>
                </para>
              </subclause2>
            </subclause1>
            <subclause1 condition="optional" id="a854999">
              <identifier>6.7</identifier>
              <para>
                <paratext>We do not agree to you appointing any third-party processor of Personal Data under this agreement.</paratext>
              </para>
              <para>
                <paratext>
                  <bold>OR</bold>
                </paratext>
              </para>
              <para>
                <paratext>You may only authorise a sub-processor to process Personal Data if:</paratext>
              </para>
              <subclause2 id="a207010">
                <identifier>(a)</identifier>
                <para>
                  <paratext>
                    we [provide written consent prior to the appointment of each sub-processor] 
                    <bold>OR </bold>
                    [are provided with an opportunity to object to the appointment of each sub-processor within [NUMBER] working days after you supply us with full details in writing regarding such sub-processor];
                  </paratext>
                </para>
              </subclause2>
              <subclause2 id="a960552">
                <identifier>(b)</identifier>
                <para>
                  <paratext>you enter into a written contract with the sub-processor that contains terms substantially the same as those set out in this agreement, in particular in relation to requiring appropriate technical and organisational data security measures with regards to Article 32 of the UK GDPR and any relevant requirements under Article 28 of the UK GDPR, including but not limited to the sub-processor allowing for and contributing to audits by or on behalf of us and, where relevant, aiding us to respond to subject access requests, and, upon our written request, provide us with copies of the relevant excerpts from such contracts;</paratext>
                </para>
              </subclause2>
              <subclause2 id="a636764">
                <identifier>(c)</identifier>
                <para>
                  <paratext>you maintain control over all of the Personal Data you entrust to the sub-processor; and</paratext>
                </para>
              </subclause2>
              <subclause2 id="a980350">
                <identifier>(d)</identifier>
                <para>
                  <paratext>the sub-processor's contract terminates automatically on termination of this agreement for any reason.</paratext>
                </para>
              </subclause2>
              <para>
                <paratext>
                  You shall remain fully liable for all acts or omissions of any third-party processor appointed by you pursuant to this 
                  <internal.reference refid="a854999">
                    <ital>clause 6.7</ital>
                  </internal.reference>
                  .
                </paratext>
              </para>
            </subclause1>
            <subclause1 condition="optional" id="a438453">
              <identifier>6.8</identifier>
              <para>
                <paratext>You shall have personal liability for and shall indemnify us [and any other company in our group] for any loss, liability, costs (including legal costs), damages, or expenses resulting from any breach by you [or a sub-processor engaged by you] of the Data Protection Legislation, and shall maintain in force full and comprehensive insurance policies to cover such liability.</paratext>
              </para>
            </subclause1>
          </clause>
          <clause id="a791893">
            <identifier>7.</identifier>
            <head align="left" preservecase="true">
              <headtext>Intellectual property</headtext>
            </head>
            <drafting.note id="a228302" jurisdiction="">
              <head align="left" preservecase="true">
                <headtext>Intellectual property</headtext>
              </head>
              <division id="a000024" level="1">
                <para>
                  <paratext>
                    Some intellectual property rights (notably copyright and rights in designs) arising from the provision of the services will belong to the consultant. This clause is a simple assignment of these rights. For commentary on a more detailed intellectual property clause, see 
                    <link href="2-200-2143#a747224" style="ACTLinkPLCtoPLC">
                      <ital>Standard document, Consultancy agreement: Drafting note: Intellectual property</ital>
                    </link>
                    .
                  </paratext>
                </para>
                <para>
                  <paratext>
                    If the client requires the power of attorney provision set out in 
                    <internal.reference refid="a460358">
                      <ital>clause 7.3</ital>
                    </internal.reference>
                    , the agreement will need to be executed as a 
                    <bold>deed</bold>
                     (see 
                    <link href="2-200-2143#a717115" style="ACTLinkPLCtoPLC">
                      <ital>Standard document, Consultancy agreement: Drafting note: Execution</ital>
                    </link>
                    ).
                  </paratext>
                </para>
              </division>
            </drafting.note>
            <subclause1 id="a200217">
              <identifier>7.1</identifier>
              <para>
                <paratext>
                  You hereby assign to us all existing and future intellectual property rights (including, without limitation, patents, copyright and related rights) and inventions arising from the Services provided to us. You agree promptly to execute all documents and do all acts as may, in our opinion, be necessary to give effect to this 
                  <internal.reference refid="a791893">
                    <ital>clause 7</ital>
                  </internal.reference>
                  .
                </paratext>
              </para>
            </subclause1>
            <subclause1 id="a967387">
              <identifier>7.2</identifier>
              <para>
                <paratext>You hereby irrevocably waive all moral rights under the Copyright, Designs and Patents Act 1988 (and all similar rights in other jurisdictions) which you have or will have in any existing or future works.</paratext>
              </para>
            </subclause1>
            <subclause1 condition="optional" id="a460358">
              <identifier>7.3</identifier>
              <para>
                <paratext>You irrevocably appoint us to be your attorney in your name and on your behalf to execute documents, use your name and do all things which are necessary or desirable for us to obtain for ourselves or our nominee the full benefit of this clause.</paratext>
              </para>
            </subclause1>
          </clause>
          <clause id="a688709">
            <identifier>8.</identifier>
            <head align="left" preservecase="true">
              <headtext>Insurance and liability</headtext>
            </head>
            <drafting.note id="a643774" jurisdiction="">
              <head align="left" preservecase="true">
                <headtext>Insurance and liability</headtext>
              </head>
              <division id="a000025" level="1">
                <para>
                  <paratext>
                    This clause deals with the consultant's liability in relation to the provision of the services. See 
                    <link href="2-200-2143#a1015973" style="ACTLinkPLCtoPLC">
                      <ital>Standard document, Consultancy agreement: Drafting note: Insurance and liability</ital>
                    </link>
                    .
                  </paratext>
                </para>
              </division>
            </drafting.note>
            <subclause1 id="a732915">
              <para>
                <paratext>You shall have personal liability for and shall indemnify us [and any other company in our group] for any loss, liability, costs (including reasonable legal costs), damages or expenses arising from [any breach by you, or any substitute engaged under this agreement, of the terms of this agreement, including any negligent or reckless act, omission or default in] the provision of the Services and shall maintain in force during the period of this agreement adequate insurance cover with reputable insurers acceptable to us.</paratext>
              </para>
            </subclause1>
          </clause>
          <clause id="a569844">
            <identifier>9.</identifier>
            <head align="left" preservecase="true">
              <headtext>Termination</headtext>
            </head>
            <drafting.note id="a457518" jurisdiction="">
              <head align="left" preservecase="true">
                <headtext>Termination</headtext>
              </head>
              <division id="a000026" level="1">
                <para>
                  <paratext>
                    This clause sets out the circumstances in which the client may terminate the consultant's engagement without notice. For a more detailed list of events of default, see 
                    <link href="2-200-2143#a801844" style="ACTLinkPLCtoPLC">
                      <ital>Standard document, Consultancy agreement: clause 11</ital>
                    </link>
                    .
                  </paratext>
                </para>
              </division>
            </drafting.note>
            <subclause1 id="a829649">
              <para>
                <paratext>We may at any time terminate your engagement with immediate effect with no liability to make any further payment to you (other than in respect of any accrued fees or expenses at the date of termination) if:</paratext>
              </para>
              <subclause2 id="a206584">
                <identifier>(a)</identifier>
                <para>
                  <paratext>you are in material breach of any of your obligations under this agreement;</paratext>
                </para>
              </subclause2>
              <subclause2 id="a583744">
                <identifier>(b)</identifier>
                <para>
                  <paratext>
                    you fail to comply with your obligations under 
                    <internal.reference refid="a332794">
                      <ital>clause 2.8</ital>
                    </internal.reference>
                    , 
                    <internal.reference refid="a998772">
                      <ital>clause 2.9</ital>
                    </internal.reference>
                     or 
                    <internal.reference refid="a506356">
                      <ital>clause 2.10</ital>
                    </internal.reference>
                    ; or
                  </paratext>
                </para>
              </subclause2>
              <subclause2 id="a473760">
                <identifier>(c)</identifier>
                <para>
                  <paratext>other than as a result of illness or accident, after notice in writing, you wilfully neglect to provide or fail to remedy any default in providing the Services.</paratext>
                </para>
              </subclause2>
              <para>
                <paratext>Any delay by us in exercising our rights to terminate shall not constitute a waiver of those rights.</paratext>
              </para>
            </subclause1>
          </clause>
          <clause id="a607250">
            <identifier>10.</identifier>
            <head align="left" preservecase="true">
              <headtext>Client property</headtext>
            </head>
            <drafting.note id="a727482" jurisdiction="">
              <head align="left" preservecase="true">
                <headtext>Obligations on termination</headtext>
              </head>
              <division id="a000027" level="1">
                <para>
                  <paratext>This clause sets out the consultant's obligations to return documents and delete confidential information stored, for example, on their computer, when the engagement terminates.</paratext>
                </para>
              </division>
            </drafting.note>
            <subclause1 id="a791100">
              <identifier>10.1</identifier>
              <para>
                <paratext>
                  All documents, manuals, hardware and software that we provide for your use, and any data or documents (including copies) produced, maintained or stored on our computer systems or other electronic equipment (including mobile phones)[, including confidential information as defined in 
                  <internal.reference refid="a614506">
                    <ital>clause 5</ital>
                  </internal.reference>
                   and copies of confidential information], remain our property.
                </paratext>
              </para>
            </subclause1>
            <subclause1 id="a679711">
              <identifier>10.2</identifier>
              <para>
                <paratext>
                  On termination of your engagement, or at our request at any time during your engagement, you shall[, and shall procure that any substitute shall,] hand over all property belonging to us [(including confidential information as defined in 
                  <internal.reference refid="a614506">
                    <ital>clause 5</ital>
                  </internal.reference>
                   and copies of confidential information)] to [POSITION] and irretrievably delete any information belonging to us [(including confidential information as defined in 
                  <internal.reference refid="a614506">
                    <ital>clause 5</ital>
                  </internal.reference>
                   and copies of confidential information)] which is stored on any magnetic or optical disk or memory, including personal computer networks, personal e-mail accounts or personal accounts on websites, in your possession or control.
                </paratext>
              </para>
            </subclause1>
          </clause>
          <clause id="a908172">
            <identifier>11.</identifier>
            <head align="left" preservecase="true">
              <headtext>Status</headtext>
            </head>
            <drafting.note id="a591798" jurisdiction="">
              <head align="left" preservecase="true">
                <headtext>Status</headtext>
              </head>
              <division id="a000028" level="1">
                <para>
                  <paratext>
                    This clause relates to the consultant's status as an independent contractor and contains indemnities in favour of the client (see 
                    <link anchor="a862104" href="http://www.practicallaw.com/2-200-2143" style="ACTLinkURL">
                      <ital>Standard document, Consultancy agreement: Drafting notes: Status of the consultant</ital>
                    </link>
                    , 
                    <link anchor="a533593" href="http://www.practicallaw.com/2-200-2143" style="ACTLinkURL">
                      <ital>Parties' intention </ital>
                    </link>
                      and 
                    <link anchor="a838143" href="https://www.practicallaw.com/2-200-2143" style="ACTLinkURL">
                      <ital>Indemnities</ital>
                    </link>
                    ).
                  </paratext>
                </para>
                <para>
                  <paratext>
                    In 
                    <internal.reference refid="a671433">
                      <ital>clause 11.2(b)</ital>
                    </internal.reference>
                    , the words "...except where such claim is as a result of any act or omission of the Client" were previously optional.  We have now incorporated them into the clause fully following the decision in 
                    <link href="https://uk.practicallaw.thomsonreuters.com/D-101-5794?originationContext=document&amp;amp;transitionType=PLDocumentLink&amp;amp;contextData=(sc.Default)" style="ACTLinkURL">
                      <ital>Gascoigne v Addison Lee Ltd ET/2200436/2016</ital>
                    </link>
                    . In the tribunal's view, a clause whereby the consultant indemnifies the client for liability relating to claims based on worker status appears designed to "put people off challenging their employment status" (see 
                    <link href="https://uk.practicallaw.thomsonreuters.com/w-009-7597?originationContext=document&amp;amp;transitionType=DocumentItem&amp;amp;contextData=(sc.Default)" style="ACTLinkURL">
                      <ital>Legal update, Addison Lee cycle courier was a worker (ET)</ital>
                    </link>
                    ). Accordingly, clause 11.2(b) makes it clear that the consultant will not be required to indemnify the client where a claim is a result of an act or omission by the client and therefore seeks to address the tribunal's decision in 
                    <ital>Gascoigne</ital>
                    . This finding was, however, quite fact specific and should not necessarily deter clients from using such indemnities, particularly outside the gig economy and where there is greater equality of bargaining power between the client and the consultant.
                  </paratext>
                </para>
                <para>
                  <paratext>
                    In any event, the parties should note that any attempt to limit or exclude the rights of an employee or worker under ERA 1996 will be void under 
                    <link href="https://uk.practicallaw.thomsonreuters.com/0-506-3389?originationContext=document&amp;amp;transitionType=PLDocumentLink&amp;amp;contextData=(sc.Default)" style="ACTLinkURL">
                      <ital>section 203</ital>
                    </link>
                    , with the result that the clause would be void if the consultant, or any substitute, is found to be a worker or employee (see 
                    <link href="https://uk.practicallaw.thomsonreuters.com/0-380-9367?originationContext=document&amp;amp;transitionType=DocumentItem&amp;amp;contextData=(sc.Default)" style="ACTLinkURL">
                      <ital>Legal update, Application of section 203 ERA to clause denying intention to create legal relations</ital>
                    </link>
                    ).
                  </paratext>
                </para>
              </division>
            </drafting.note>
            <subclause1 id="a938575">
              <identifier>11.1</identifier>
              <para>
                <paratext>You will be an independent contractor and nothing in this agreement shall render you our employee, worker, agent or partner and you shall not hold yourself out as such.</paratext>
              </para>
            </subclause1>
            <subclause1 id="a785883">
              <identifier>11.2</identifier>
              <para>
                <paratext>You shall be fully responsible for and indemnify us [or any other company in our group] against any liability, assessment or claim for:</paratext>
              </para>
              <subclause2 id="a141647">
                <identifier>(a)</identifier>
                <para>
                  <paratext>taxation howsoever arising from or made in connection with the performance of the Services, where such recovery is not prohibited by law; and</paratext>
                </para>
              </subclause2>
              <subclause2 id="a671433">
                <identifier>(b)</identifier>
                <para>
                  <paratext>any employment-related claim or any claim based on worker status (including reasonable costs and expenses) brought by you or any substitute against us arising out of or in connection with the provision of the Services, except where such claim is as a result of any act or omission by us.</paratext>
                </para>
              </subclause2>
              <para>
                <paratext>We may satisfy such indemnity (in whole or in part) by way of deduction from any payment due to you.</paratext>
              </para>
            </subclause1>
          </clause>
          <clause id="a418705">
            <identifier>12.</identifier>
            <head align="left" preservecase="true">
              <headtext>Variation</headtext>
            </head>
            <drafting.note id="a636935" jurisdiction="">
              <head align="left" preservecase="true">
                <headtext>Variation</headtext>
              </head>
              <division id="a000029" level="1">
                <para>
                  <paratext>The agreement can only be varied by a document signed by both parties.</paratext>
                </para>
              </division>
            </drafting.note>
            <subclause1 id="a923640">
              <para>
                <paratext>This agreement may only be varied by a document signed by both you and us.</paratext>
              </para>
            </subclause1>
          </clause>
          <clause id="a590642">
            <identifier>13.</identifier>
            <head align="left" preservecase="true">
              <headtext>Third party rights</headtext>
            </head>
            <drafting.note id="a298183" jurisdiction="">
              <head align="left" preservecase="true">
                <headtext>Third party rights</headtext>
              </head>
              <division id="a000030" level="1">
                <para>
                  <paratext>
                    This clause excludes the 
                    <link href="9-505-5610" style="ACTLinkPLCtoPLC">
                      <ital>Contracts (Rights of Third Parties) Act 1999</ital>
                    </link>
                    . Amendment will be required if it is intended for any group company to have the right to enforce any part of the agreement (see 
                    <link href="2-200-2143#a331907" style="ACTLinkPLCtoPLC">
                      <ital>Standard document, Consultancy agreement: Drafting note: Third party rights</ital>
                    </link>
                    ).
                  </paratext>
                </para>
              </division>
            </drafting.note>
            <subclause1 id="a807516">
              <para>
                <paratext>The Contracts (Rights of Third Parties) Act 1999 shall not apply to this agreement and no person other than you and us shall have any rights under it. The terms of this agreement or any of them may be varied, amended or modified or this agreement may be suspended, cancelled or terminated by agreement in writing between the parties or this agreement may be rescinded (in each case) without the consent of any third party.</paratext>
              </para>
            </subclause1>
          </clause>
          <clause id="a544951">
            <identifier>14.</identifier>
            <head align="left" preservecase="true">
              <headtext>Governing law</headtext>
            </head>
            <drafting.note id="a850797" jurisdiction="">
              <head align="left" preservecase="true">
                <headtext>Governing law</headtext>
              </head>
              <division id="a000031" level="1">
                <para>
                  <paratext>
                    This clause provides that the agreement is governed by and should be construed in accordance with English law (see 
                    <link href="2-200-2143#a721300" style="ACTLinkPLCtoPLC">
                      <ital>Standard document, Consultancy agreement: Drafting note: Governing law</ital>
                    </link>
                    ).
                  </paratext>
                </para>
              </division>
            </drafting.note>
            <subclause1 id="a275868">
              <para>
                <paratext>This agreement and any dispute or claim arising out of or in connection with it or its subject matter or formation (including non-contractual disputes or claims) shall be governed by and construed in accordance with the law of England and Wales.</paratext>
              </para>
            </subclause1>
          </clause>
          <clause id="a274455">
            <identifier>15.</identifier>
            <head align="left" preservecase="true">
              <headtext>Jurisdiction</headtext>
            </head>
            <drafting.note id="a250932" jurisdiction="">
              <head align="left" preservecase="true">
                <headtext>Jurisdiction</headtext>
              </head>
              <division id="a000032" level="1">
                <para>
                  <paratext>
                    This clause provides that any dispute should be dealt with in the courts of England and Wales (see 
                    <link href="2-200-2143#a191279" style="ACTLinkPLCtoPLC">
                      <ital>Standard document, Consultancy agreement: Drafting note: Jurisdiction</ital>
                    </link>
                    ).
                  </paratext>
                </para>
              </division>
            </drafting.note>
            <subclause1 id="a192877">
              <para>
                <paratext>The courts of England and Wales shall have exclusive jurisdiction to settle any dispute or claim arising out of or in connection with this agreement or its subject matter or formation (including non-contractual disputes or claims).</paratext>
              </para>
            </subclause1>
          </clause>
          <clause id="a826292" numbering="none">
            <para>
              <paratext>Please acknowledge receipt of this letter and acceptance of its terms by signing, dating and returning the enclosed copy.</paratext>
            </para>
          </clause>
        </operative>
        <closing>
          <sincerely>Yours sincerely,</sincerely>
        </closing>
        <signature default="true" pagebreak="true" signaturemessage="no">
          <para>
            <paratext>
              <table frame="none" pgwide="1">
                <tgroup cols="1">
                  <colspec colname="1" colnum="1" colwidth="100"/>
                  <tbody>
                    <row>
                      <entry valign="top">
                        <para align="left">
                          <paratext>................................................................</paratext>
                        </para>
                      </entry>
                    </row>
                    <row>
                      <entry valign="top">
                        <para align="left">
                          <paratext>[NAME]</paratext>
                        </para>
                      </entry>
                    </row>
                    <row>
                      <entry valign="top">
                        <para align="left">
                          <paratext>For and on behalf of</paratext>
                        </para>
                      </entry>
                    </row>
                    <row>
                      <entry valign="top">
                        <para align="left">
                          <paratext>[COMPANY]</paratext>
                        </para>
                      </entry>
                    </row>
                    <row>
                      <entry valign="top">
                        <para>
                          <paratext/>
                        </para>
                      </entry>
                    </row>
                    <row>
                      <entry valign="top">
                        <para align="left">
                          <paratext>I hereby acknowledge receipt and accept the contents of this letter.</paratext>
                        </para>
                      </entry>
                    </row>
                    <row>
                      <entry valign="top">
                        <para>
                          <paratext/>
                        </para>
                      </entry>
                    </row>
                    <row>
                      <entry valign="top">
                        <para align="left">
                          <paratext>Signed .....................................................</paratext>
                        </para>
                      </entry>
                    </row>
                    <row>
                      <entry valign="top">
                        <para align="left">
                          <paratext>[CONSULTANT]</paratext>
                        </para>
                      </entry>
                    </row>
                    <row>
                      <entry valign="top">
                        <para>
                          <paratext/>
                        </para>
                      </entry>
                    </row>
                    <row>
                      <entry valign="top">
                        <para align="left">
                          <paratext>Date ........................................................</paratext>
                        </para>
                      </entry>
                    </row>
                  </tbody>
                </tgroup>
              </table>
            </paratext>
          </para>
        </signature>
        <disclosure.schedule>
          <schedule id="a598255">
            <identifier>Schedule 1</identifier>
            <head align="left" preservecase="true">
              <headtext>PROCESSING, PERSONAL DATA AND DATA SUBJECTS</headtext>
            </head>
            <part id="a969013">
              <identifier>Part 1</identifier>
              <head align="left" preservecase="true">
                <headtext>PROCESSING BY THE CONSULTANT</headtext>
              </head>
              <clause id="a208377">
                <identifier>1.</identifier>
                <head align="left" preservecase="true">
                  <headtext>SCOPE</headtext>
                </head>
              </clause>
              <clause id="a163519">
                <identifier>2.</identifier>
                <head align="left" preservecase="true">
                  <headtext>NATURE</headtext>
                </head>
              </clause>
              <clause id="a405493">
                <identifier>3.</identifier>
                <head align="left" preservecase="true">
                  <headtext>PURPOSE OF PROCESSING</headtext>
                </head>
              </clause>
              <clause id="a104629">
                <identifier>4.</identifier>
                <head align="left" preservecase="true">
                  <headtext>DURATION OF THE PROCESSING</headtext>
                </head>
              </clause>
            </part>
            <part id="a419059">
              <identifier>Part 2</identifier>
              <head align="left" preservecase="true">
                <headtext>TYPES OF PERSONAL DATA</headtext>
              </head>
            </part>
            <part id="a431891">
              <identifier>Part 3</identifier>
              <head align="left" preservecase="true">
                <headtext>CATEGORIES OF DATA SUBJECT</headtext>
              </head>
            </part>
          </schedule>
        </disclosure.schedule>
      </body>
      <rev.history>
        <rev.item>
          <rev.title>Use of AI (August 2025)</rev.title>
          <rev.date>20250827</rev.date>
          <rev.author>PL Employment </rev.author>
          <rev.body>
            <division id="a000001" level="1">
              <para>
                <paratext>
                  We have inserted a new 
                  <internal.reference refid="a945456">
                    <ital>Drafting note, Use of AI by consultant</ital>
                  </internal.reference>
                  .
                </paratext>
              </para>
            </division>
          </rev.body>
        </rev.item>
        <rev.item>
          <rev.title>Prevention of fraud (August 2025)</rev.title>
          <rev.date>20250827</rev.date>
          <rev.author>PL Employment </rev.author>
          <rev.body>
            <division id="a000002" level="1">
              <para>
                <paratext>
                  We have inserted a new 
                  <internal.reference refid="a506356">
                    <ital>clause 2.10</ital>
                  </internal.reference>
                   and 
                  <internal.reference refid="a507721">
                    <ital>Drafting note, Prevention of fraud</ital>
                  </internal.reference>
                   to take 
                  <lang val="en-GB">into account the corporate offence of failing to prevent fraud set out in section 199 of the Economic Crime and Corporate Transparency Act 2023</lang>
                  . We have also made 
                  <internal.reference refid="a332794">
                    <ital>clause 2.8</ital>
                  </internal.reference>
                   non-optional and inserted a new 
                  <internal.reference refid="a583744">
                    <ital>clause 9(b)</ital>
                  </internal.reference>
                  .
                </paratext>
              </para>
            </division>
          </rev.body>
        </rev.item>
        <rev.item>
          <rev.title>Confidentiality provisions and Company property (November 2024)</rev.title>
          <rev.date>20241122</rev.date>
          <rev.author>PL Employment</rev.author>
          <rev.body>
            <division id="a000003" level="1">
              <para>
                <paratext>
                  We have updated 
                  <internal.reference refid="a614506">
                    <ital>clause 5</ital>
                  </internal.reference>
                   (which is now optional), 
                  <internal.reference refid="a618418">
                    <ital>Drafting note, Confidential information (optional clause)</ital>
                  </internal.reference>
                   and 
                  <internal.reference refid="a607250">
                    <ital>clause 10</ital>
                  </internal.reference>
                  . We have also inserted a new 
                  <internal.reference refid="a105387">
                    <ital>Drafting note, Confidentiality "carve-outs"</ital>
                  </internal.reference>
                  . The drafting notes refer to the updated SRA Warning Notice.
                </paratext>
              </para>
            </division>
          </rev.body>
        </rev.item>
        <rev.item>
          <rev.title>Carve-outs to confidentiality provisions (March 2022)</rev.title>
          <rev.date>20220303</rev.date>
          <rev.author>PL Employment</rev.author>
          <rev.body>
            <division id="a000004" level="1">
              <para>
                <paratext>
                  We have inserted a new 
                  <internal.reference refid="a614506">
                    <ital>clause 5</ital>
                  </internal.reference>
                  .
                </paratext>
              </para>
            </division>
          </rev.body>
        </rev.item>
        <rev.item>
          <rev.title>Data protection clause (April 2021)</rev.title>
          <rev.date>20210428</rev.date>
          <rev.author>PL Employment </rev.author>
          <rev.body>
            <division id="a000005" level="1">
              <para>
                <paratext>
                  <internal.reference refid="a854999">
                    <ital>clause 6.7</ital>
                  </internal.reference>
                   has been updated to ensure compliance with 
                  <ital>Article 28(2) UK GDPR</ital>
                  . 
                  <internal.reference refid="a998900">
                    <ital>Drafting note, Data protection</ital>
                  </internal.reference>
                   has also been updated.
                </paratext>
              </para>
            </division>
          </rev.body>
        </rev.item>
        <rev.item>
          <rev.title>End of UK-EU transition period (December 2020)</rev.title>
          <rev.date>20201203</rev.date>
          <rev.author>PL Employment </rev.author>
          <rev.body>
            <division id="a000006" level="1">
              <para>
                <paratext/>
              </para>
            </division>
          </rev.body>
        </rev.item>
      </rev.history>
    </standard.doc>
  </n-docbody>
</n-document>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04A4740-467C-4621-8651-1FB691110B39}">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D2F126EC-9B7A-4D5C-90E9-CDE6F76926B2}">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A221B3BE-D23D-4539-B608-B8644E1EC498}">
  <ds:schemaRefs>
    <ds:schemaRef ds:uri="http://www.w3.org/2001/XMLSchema"/>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 (short form)</dc:title>
  <dc:creator>Humphreys, Callum A. (TR Product)</dc:creator>
  <cp:lastModifiedBy>Heron, Samantha</cp:lastModifiedBy>
  <cp:revision>194</cp:revision>
  <cp:lastPrinted>2020-02-20T15:40:00Z</cp:lastPrinted>
  <dcterms:created xsi:type="dcterms:W3CDTF">2020-02-13T14:06:00Z</dcterms:created>
  <dcterms:modified xsi:type="dcterms:W3CDTF">2025-09-10T10:20:00Z</dcterms:modified>
</cp:coreProperties>
</file>