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36EA2" w14:textId="77777777" w:rsidR="00AB08A1" w:rsidRDefault="00AB08A1" w:rsidP="0068369A">
      <w:pPr>
        <w:pStyle w:val="CoversheetStaticText"/>
        <w:rPr>
          <w:b/>
        </w:rPr>
      </w:pPr>
    </w:p>
    <w:p w14:paraId="0CCBED50" w14:textId="77777777" w:rsidR="00AB08A1" w:rsidRDefault="00AB08A1" w:rsidP="0068369A">
      <w:pPr>
        <w:pStyle w:val="CoversheetStaticText"/>
        <w:rPr>
          <w:b/>
        </w:rPr>
      </w:pPr>
    </w:p>
    <w:p w14:paraId="002044BA" w14:textId="1A781BB7" w:rsidR="00AB08A1" w:rsidRDefault="00AB08A1" w:rsidP="0068369A">
      <w:pPr>
        <w:pStyle w:val="CoversheetStaticText"/>
        <w:rPr>
          <w:b/>
        </w:rPr>
      </w:pPr>
      <w:r>
        <w:rPr>
          <w:b/>
        </w:rPr>
        <w:t>DATED</w:t>
      </w:r>
    </w:p>
    <w:p w14:paraId="002044BB" w14:textId="77777777" w:rsidR="00AB08A1" w:rsidRDefault="00AB08A1" w:rsidP="0068369A">
      <w:pPr>
        <w:pStyle w:val="CoversheetStaticText"/>
        <w:rPr>
          <w:b/>
        </w:rPr>
      </w:pPr>
      <w:r>
        <w:t>------------</w:t>
      </w:r>
    </w:p>
    <w:p w14:paraId="002044BC" w14:textId="77777777" w:rsidR="00AB08A1" w:rsidRDefault="00AB08A1" w:rsidP="0068369A">
      <w:pPr>
        <w:pStyle w:val="CoversheetTitle"/>
      </w:pPr>
      <w:r>
        <w:t>Consultancy agreement</w:t>
      </w:r>
    </w:p>
    <w:p w14:paraId="002044BD" w14:textId="77777777" w:rsidR="00AB08A1" w:rsidRDefault="00AB08A1" w:rsidP="0068369A">
      <w:pPr>
        <w:pStyle w:val="CoversheetStaticText"/>
      </w:pPr>
      <w:r>
        <w:t>between</w:t>
      </w:r>
    </w:p>
    <w:p w14:paraId="002044BE" w14:textId="77777777" w:rsidR="00AB08A1" w:rsidRDefault="00AB08A1" w:rsidP="0068369A">
      <w:pPr>
        <w:pStyle w:val="CoversheetParty"/>
      </w:pPr>
      <w:r>
        <w:t>[FULL COMPANY NAME]</w:t>
      </w:r>
    </w:p>
    <w:p w14:paraId="002044BF" w14:textId="77777777" w:rsidR="00AB08A1" w:rsidRDefault="00AB08A1" w:rsidP="0068369A">
      <w:pPr>
        <w:pStyle w:val="CoversheetStaticText"/>
      </w:pPr>
      <w:r>
        <w:t>and</w:t>
      </w:r>
    </w:p>
    <w:p w14:paraId="002044C0" w14:textId="77777777" w:rsidR="00AB08A1" w:rsidRDefault="00AB08A1" w:rsidP="0068369A">
      <w:pPr>
        <w:pStyle w:val="CoversheetParty"/>
        <w:sectPr w:rsidR="00F73771" w:rsidSect="00F73771">
          <w:pgSz w:w="12240" w:h="15840"/>
          <w:pgMar w:top="1440" w:right="1440" w:bottom="1440" w:left="1440" w:header="720" w:footer="720" w:gutter="0"/>
          <w:cols w:space="720"/>
        </w:sectPr>
      </w:pPr>
      <w:r>
        <w:t>[CONSULTANT'S NAME]</w:t>
      </w:r>
    </w:p>
    <w:p w14:paraId="002044C1" w14:textId="77777777" w:rsidR="00074F36" w:rsidRDefault="00074F36">
      <w:pPr>
        <w:sectPr w:rsidR="00074F36" w:rsidSect="00F73771">
          <w:type w:val="continuous"/>
          <w:pgSz w:w="12240" w:h="15840"/>
          <w:pgMar w:top="1440" w:right="1440" w:bottom="1440" w:left="1440" w:header="720" w:footer="720" w:gutter="0"/>
          <w:cols w:space="720"/>
        </w:sectPr>
      </w:pPr>
    </w:p>
    <w:p w14:paraId="002044C2" w14:textId="77777777" w:rsidR="00AB08A1" w:rsidRDefault="00AB08A1" w:rsidP="0068369A">
      <w:pPr>
        <w:pStyle w:val="HeadingLevel2"/>
      </w:pPr>
      <w:r>
        <w:lastRenderedPageBreak/>
        <w:t>CONTENTS</w:t>
      </w:r>
    </w:p>
    <w:p w14:paraId="002044C3" w14:textId="77777777" w:rsidR="00AB08A1" w:rsidRDefault="00AB08A1" w:rsidP="0068369A">
      <w:pPr>
        <w:pStyle w:val="HeadingLevel2"/>
      </w:pPr>
      <w:r>
        <w:t>____________________________________________________________</w:t>
      </w:r>
    </w:p>
    <w:p w14:paraId="002044C4" w14:textId="77777777" w:rsidR="00AB08A1" w:rsidRDefault="00AB08A1" w:rsidP="0068369A">
      <w:pPr>
        <w:pStyle w:val="HeadingLevel2"/>
      </w:pPr>
      <w:r>
        <w:t>CLAUSE</w:t>
      </w:r>
    </w:p>
    <w:p w14:paraId="002044C5" w14:textId="77777777" w:rsidR="00074F36" w:rsidRDefault="00AB08A1">
      <w:pPr>
        <w:pStyle w:val="TOC1"/>
        <w:tabs>
          <w:tab w:val="left" w:pos="440"/>
          <w:tab w:val="right" w:leader="dot" w:pos="9350"/>
        </w:tabs>
        <w:rPr>
          <w:noProof/>
        </w:rPr>
      </w:pPr>
      <w:r>
        <w:rPr>
          <w:rFonts w:eastAsia="Arial"/>
          <w:lang w:eastAsia="en-GB"/>
        </w:rPr>
        <w:fldChar w:fldCharType="begin"/>
      </w:r>
      <w:r>
        <w:rPr>
          <w:color w:val="000000"/>
        </w:rPr>
        <w:instrText>TOC \t "Title Clause, 1" \h</w:instrText>
      </w:r>
      <w:r>
        <w:rPr>
          <w:rFonts w:eastAsia="Arial"/>
          <w:lang w:eastAsia="en-GB"/>
        </w:rPr>
        <w:fldChar w:fldCharType="separate"/>
      </w:r>
      <w:hyperlink w:anchor="_Toc256000000" w:history="1">
        <w:r>
          <w:rPr>
            <w:rStyle w:val="Hyperlink"/>
          </w:rPr>
          <w:t>1.</w:t>
        </w:r>
        <w:r>
          <w:rPr>
            <w:rStyle w:val="Hyperlink"/>
            <w:noProof/>
          </w:rPr>
          <w:tab/>
        </w:r>
        <w:r>
          <w:rPr>
            <w:rStyle w:val="Hyperlink"/>
          </w:rPr>
          <w:t>Interpretation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hyperlink>
    </w:p>
    <w:p w14:paraId="002044C6" w14:textId="77777777" w:rsidR="00074F36" w:rsidRDefault="00AB08A1">
      <w:pPr>
        <w:pStyle w:val="TOC1"/>
        <w:tabs>
          <w:tab w:val="left" w:pos="440"/>
          <w:tab w:val="right" w:leader="dot" w:pos="9350"/>
        </w:tabs>
        <w:rPr>
          <w:noProof/>
        </w:rPr>
      </w:pPr>
      <w:hyperlink w:anchor="_Toc256000001" w:history="1">
        <w:r>
          <w:rPr>
            <w:rStyle w:val="Hyperlink"/>
          </w:rPr>
          <w:t>2.</w:t>
        </w:r>
        <w:r>
          <w:rPr>
            <w:rStyle w:val="Hyperlink"/>
            <w:noProof/>
          </w:rPr>
          <w:tab/>
        </w:r>
        <w:r>
          <w:rPr>
            <w:rStyle w:val="Hyperlink"/>
          </w:rPr>
          <w:t>Term of engagement</w:t>
        </w:r>
        <w:r>
          <w:rPr>
            <w:rStyle w:val="Hyperlink"/>
          </w:rPr>
          <w:tab/>
        </w:r>
        <w:r>
          <w:fldChar w:fldCharType="begin"/>
        </w:r>
        <w:r>
          <w:rPr>
            <w:rStyle w:val="Hyperlink"/>
          </w:rPr>
          <w:instrText xml:space="preserve"> PAGEREF _Toc256000001 \h </w:instrText>
        </w:r>
        <w:r>
          <w:fldChar w:fldCharType="separate"/>
        </w:r>
        <w:r>
          <w:rPr>
            <w:rStyle w:val="Hyperlink"/>
          </w:rPr>
          <w:t>6</w:t>
        </w:r>
        <w:r>
          <w:fldChar w:fldCharType="end"/>
        </w:r>
      </w:hyperlink>
    </w:p>
    <w:p w14:paraId="002044C7" w14:textId="77777777" w:rsidR="00074F36" w:rsidRDefault="00AB08A1">
      <w:pPr>
        <w:pStyle w:val="TOC1"/>
        <w:tabs>
          <w:tab w:val="left" w:pos="440"/>
          <w:tab w:val="right" w:leader="dot" w:pos="9350"/>
        </w:tabs>
        <w:rPr>
          <w:noProof/>
        </w:rPr>
      </w:pPr>
      <w:hyperlink w:anchor="_Toc256000002" w:history="1">
        <w:r>
          <w:rPr>
            <w:rStyle w:val="Hyperlink"/>
          </w:rPr>
          <w:t>3.</w:t>
        </w:r>
        <w:r>
          <w:rPr>
            <w:rStyle w:val="Hyperlink"/>
            <w:noProof/>
          </w:rPr>
          <w:tab/>
        </w:r>
        <w:r>
          <w:rPr>
            <w:rStyle w:val="Hyperlink"/>
          </w:rPr>
          <w:t>Duties and obligations</w:t>
        </w:r>
        <w:r>
          <w:rPr>
            <w:rStyle w:val="Hyperlink"/>
          </w:rPr>
          <w:tab/>
        </w:r>
        <w:r>
          <w:fldChar w:fldCharType="begin"/>
        </w:r>
        <w:r>
          <w:rPr>
            <w:rStyle w:val="Hyperlink"/>
          </w:rPr>
          <w:instrText xml:space="preserve"> PAGEREF _Toc256000002 \h </w:instrText>
        </w:r>
        <w:r>
          <w:fldChar w:fldCharType="separate"/>
        </w:r>
        <w:r>
          <w:rPr>
            <w:rStyle w:val="Hyperlink"/>
          </w:rPr>
          <w:t>6</w:t>
        </w:r>
        <w:r>
          <w:fldChar w:fldCharType="end"/>
        </w:r>
      </w:hyperlink>
    </w:p>
    <w:p w14:paraId="002044C8" w14:textId="77777777" w:rsidR="00074F36" w:rsidRDefault="00AB08A1">
      <w:pPr>
        <w:pStyle w:val="TOC1"/>
        <w:tabs>
          <w:tab w:val="left" w:pos="440"/>
          <w:tab w:val="right" w:leader="dot" w:pos="9350"/>
        </w:tabs>
        <w:rPr>
          <w:noProof/>
        </w:rPr>
      </w:pPr>
      <w:hyperlink w:anchor="_Toc256000003" w:history="1">
        <w:r>
          <w:rPr>
            <w:rStyle w:val="Hyperlink"/>
          </w:rPr>
          <w:t>4.</w:t>
        </w:r>
        <w:r>
          <w:rPr>
            <w:rStyle w:val="Hyperlink"/>
            <w:noProof/>
          </w:rPr>
          <w:tab/>
        </w:r>
        <w:r>
          <w:rPr>
            <w:rStyle w:val="Hyperlink"/>
          </w:rPr>
          <w:t>Fees</w:t>
        </w:r>
        <w:r>
          <w:rPr>
            <w:rStyle w:val="Hyperlink"/>
          </w:rPr>
          <w:tab/>
        </w:r>
        <w:r>
          <w:fldChar w:fldCharType="begin"/>
        </w:r>
        <w:r>
          <w:rPr>
            <w:rStyle w:val="Hyperlink"/>
          </w:rPr>
          <w:instrText xml:space="preserve"> PAGEREF _Toc256000003 \h </w:instrText>
        </w:r>
        <w:r>
          <w:fldChar w:fldCharType="separate"/>
        </w:r>
        <w:r>
          <w:rPr>
            <w:rStyle w:val="Hyperlink"/>
          </w:rPr>
          <w:t>11</w:t>
        </w:r>
        <w:r>
          <w:fldChar w:fldCharType="end"/>
        </w:r>
      </w:hyperlink>
    </w:p>
    <w:p w14:paraId="002044C9" w14:textId="77777777" w:rsidR="00074F36" w:rsidRDefault="00AB08A1">
      <w:pPr>
        <w:pStyle w:val="TOC1"/>
        <w:tabs>
          <w:tab w:val="left" w:pos="440"/>
          <w:tab w:val="right" w:leader="dot" w:pos="9350"/>
        </w:tabs>
        <w:rPr>
          <w:noProof/>
        </w:rPr>
      </w:pPr>
      <w:hyperlink w:anchor="_Toc256000004" w:history="1">
        <w:r>
          <w:rPr>
            <w:rStyle w:val="Hyperlink"/>
          </w:rPr>
          <w:t>5.</w:t>
        </w:r>
        <w:r>
          <w:rPr>
            <w:rStyle w:val="Hyperlink"/>
            <w:noProof/>
          </w:rPr>
          <w:tab/>
        </w:r>
        <w:r>
          <w:rPr>
            <w:rStyle w:val="Hyperlink"/>
          </w:rPr>
          <w:t>Expenses</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hyperlink>
    </w:p>
    <w:p w14:paraId="002044CA" w14:textId="77777777" w:rsidR="00074F36" w:rsidRDefault="00AB08A1">
      <w:pPr>
        <w:pStyle w:val="TOC1"/>
        <w:tabs>
          <w:tab w:val="left" w:pos="440"/>
          <w:tab w:val="right" w:leader="dot" w:pos="9350"/>
        </w:tabs>
        <w:rPr>
          <w:noProof/>
        </w:rPr>
      </w:pPr>
      <w:hyperlink w:anchor="_Toc256000005" w:history="1">
        <w:r>
          <w:rPr>
            <w:rStyle w:val="Hyperlink"/>
          </w:rPr>
          <w:t>6.</w:t>
        </w:r>
        <w:r>
          <w:rPr>
            <w:rStyle w:val="Hyperlink"/>
            <w:noProof/>
          </w:rPr>
          <w:tab/>
        </w:r>
        <w:r>
          <w:rPr>
            <w:rStyle w:val="Hyperlink"/>
          </w:rPr>
          <w:t>Other activities</w:t>
        </w:r>
        <w:r>
          <w:rPr>
            <w:rStyle w:val="Hyperlink"/>
          </w:rPr>
          <w:tab/>
        </w:r>
        <w:r>
          <w:fldChar w:fldCharType="begin"/>
        </w:r>
        <w:r>
          <w:rPr>
            <w:rStyle w:val="Hyperlink"/>
          </w:rPr>
          <w:instrText xml:space="preserve"> PAGEREF _Toc256000005 \h </w:instrText>
        </w:r>
        <w:r>
          <w:fldChar w:fldCharType="separate"/>
        </w:r>
        <w:r>
          <w:rPr>
            <w:rStyle w:val="Hyperlink"/>
          </w:rPr>
          <w:t>12</w:t>
        </w:r>
        <w:r>
          <w:fldChar w:fldCharType="end"/>
        </w:r>
      </w:hyperlink>
    </w:p>
    <w:p w14:paraId="002044CB" w14:textId="77777777" w:rsidR="00074F36" w:rsidRDefault="00AB08A1">
      <w:pPr>
        <w:pStyle w:val="TOC1"/>
        <w:tabs>
          <w:tab w:val="left" w:pos="440"/>
          <w:tab w:val="right" w:leader="dot" w:pos="9350"/>
        </w:tabs>
        <w:rPr>
          <w:noProof/>
        </w:rPr>
      </w:pPr>
      <w:hyperlink w:anchor="_Toc256000006" w:history="1">
        <w:r>
          <w:rPr>
            <w:rStyle w:val="Hyperlink"/>
          </w:rPr>
          <w:t>7.</w:t>
        </w:r>
        <w:r>
          <w:rPr>
            <w:rStyle w:val="Hyperlink"/>
            <w:noProof/>
          </w:rPr>
          <w:tab/>
        </w:r>
        <w:r>
          <w:rPr>
            <w:rStyle w:val="Hyperlink"/>
          </w:rPr>
          <w:t>[Confidential information</w:t>
        </w:r>
        <w:r>
          <w:rPr>
            <w:rStyle w:val="Hyperlink"/>
          </w:rPr>
          <w:tab/>
        </w:r>
        <w:r>
          <w:fldChar w:fldCharType="begin"/>
        </w:r>
        <w:r>
          <w:rPr>
            <w:rStyle w:val="Hyperlink"/>
          </w:rPr>
          <w:instrText xml:space="preserve"> PAGEREF _Toc256000006 \h </w:instrText>
        </w:r>
        <w:r>
          <w:fldChar w:fldCharType="separate"/>
        </w:r>
        <w:r>
          <w:rPr>
            <w:rStyle w:val="Hyperlink"/>
          </w:rPr>
          <w:t>12</w:t>
        </w:r>
        <w:r>
          <w:fldChar w:fldCharType="end"/>
        </w:r>
      </w:hyperlink>
    </w:p>
    <w:p w14:paraId="002044CC" w14:textId="77777777" w:rsidR="00074F36" w:rsidRDefault="00AB08A1">
      <w:pPr>
        <w:pStyle w:val="TOC1"/>
        <w:tabs>
          <w:tab w:val="left" w:pos="440"/>
          <w:tab w:val="right" w:leader="dot" w:pos="9350"/>
        </w:tabs>
        <w:rPr>
          <w:noProof/>
        </w:rPr>
      </w:pPr>
      <w:hyperlink w:anchor="_Toc256000007" w:history="1">
        <w:r>
          <w:rPr>
            <w:rStyle w:val="Hyperlink"/>
          </w:rPr>
          <w:t>8.</w:t>
        </w:r>
        <w:r>
          <w:rPr>
            <w:rStyle w:val="Hyperlink"/>
            <w:noProof/>
          </w:rPr>
          <w:tab/>
        </w:r>
        <w:r>
          <w:rPr>
            <w:rStyle w:val="Hyperlink"/>
          </w:rPr>
          <w:t>Data protection</w:t>
        </w:r>
        <w:r>
          <w:rPr>
            <w:rStyle w:val="Hyperlink"/>
          </w:rPr>
          <w:tab/>
        </w:r>
        <w:r>
          <w:fldChar w:fldCharType="begin"/>
        </w:r>
        <w:r>
          <w:rPr>
            <w:rStyle w:val="Hyperlink"/>
          </w:rPr>
          <w:instrText xml:space="preserve"> PAGEREF _Toc256000007 \h </w:instrText>
        </w:r>
        <w:r>
          <w:fldChar w:fldCharType="separate"/>
        </w:r>
        <w:r>
          <w:rPr>
            <w:rStyle w:val="Hyperlink"/>
          </w:rPr>
          <w:t>14</w:t>
        </w:r>
        <w:r>
          <w:fldChar w:fldCharType="end"/>
        </w:r>
      </w:hyperlink>
    </w:p>
    <w:p w14:paraId="002044CD" w14:textId="77777777" w:rsidR="00074F36" w:rsidRDefault="00AB08A1">
      <w:pPr>
        <w:pStyle w:val="TOC1"/>
        <w:tabs>
          <w:tab w:val="left" w:pos="440"/>
          <w:tab w:val="right" w:leader="dot" w:pos="9350"/>
        </w:tabs>
        <w:rPr>
          <w:noProof/>
        </w:rPr>
      </w:pPr>
      <w:hyperlink w:anchor="_Toc256000008" w:history="1">
        <w:r>
          <w:rPr>
            <w:rStyle w:val="Hyperlink"/>
          </w:rPr>
          <w:t>9.</w:t>
        </w:r>
        <w:r>
          <w:rPr>
            <w:rStyle w:val="Hyperlink"/>
            <w:noProof/>
          </w:rPr>
          <w:tab/>
        </w:r>
        <w:r>
          <w:rPr>
            <w:rStyle w:val="Hyperlink"/>
          </w:rPr>
          <w:t>Intellectual property</w:t>
        </w:r>
        <w:r>
          <w:rPr>
            <w:rStyle w:val="Hyperlink"/>
          </w:rPr>
          <w:tab/>
        </w:r>
        <w:r>
          <w:fldChar w:fldCharType="begin"/>
        </w:r>
        <w:r>
          <w:rPr>
            <w:rStyle w:val="Hyperlink"/>
          </w:rPr>
          <w:instrText xml:space="preserve"> PAGEREF _Toc256000008 \h </w:instrText>
        </w:r>
        <w:r>
          <w:fldChar w:fldCharType="separate"/>
        </w:r>
        <w:r>
          <w:rPr>
            <w:rStyle w:val="Hyperlink"/>
          </w:rPr>
          <w:t>17</w:t>
        </w:r>
        <w:r>
          <w:fldChar w:fldCharType="end"/>
        </w:r>
      </w:hyperlink>
    </w:p>
    <w:p w14:paraId="002044CE" w14:textId="77777777" w:rsidR="00074F36" w:rsidRDefault="00AB08A1">
      <w:pPr>
        <w:pStyle w:val="TOC1"/>
        <w:tabs>
          <w:tab w:val="left" w:pos="660"/>
          <w:tab w:val="right" w:leader="dot" w:pos="9350"/>
        </w:tabs>
        <w:rPr>
          <w:noProof/>
        </w:rPr>
      </w:pPr>
      <w:hyperlink w:anchor="_Toc256000009" w:history="1">
        <w:r>
          <w:rPr>
            <w:rStyle w:val="Hyperlink"/>
          </w:rPr>
          <w:t>10.</w:t>
        </w:r>
        <w:r>
          <w:rPr>
            <w:rStyle w:val="Hyperlink"/>
            <w:noProof/>
          </w:rPr>
          <w:tab/>
        </w:r>
        <w:r>
          <w:rPr>
            <w:rStyle w:val="Hyperlink"/>
          </w:rPr>
          <w:t>Insurance and liability</w:t>
        </w:r>
        <w:r>
          <w:rPr>
            <w:rStyle w:val="Hyperlink"/>
          </w:rPr>
          <w:tab/>
        </w:r>
        <w:r>
          <w:fldChar w:fldCharType="begin"/>
        </w:r>
        <w:r>
          <w:rPr>
            <w:rStyle w:val="Hyperlink"/>
          </w:rPr>
          <w:instrText xml:space="preserve"> PAGEREF _Toc256000009 \h </w:instrText>
        </w:r>
        <w:r>
          <w:fldChar w:fldCharType="separate"/>
        </w:r>
        <w:r>
          <w:rPr>
            <w:rStyle w:val="Hyperlink"/>
          </w:rPr>
          <w:t>18</w:t>
        </w:r>
        <w:r>
          <w:fldChar w:fldCharType="end"/>
        </w:r>
      </w:hyperlink>
    </w:p>
    <w:p w14:paraId="002044CF" w14:textId="77777777" w:rsidR="00074F36" w:rsidRDefault="00AB08A1">
      <w:pPr>
        <w:pStyle w:val="TOC1"/>
        <w:tabs>
          <w:tab w:val="left" w:pos="660"/>
          <w:tab w:val="right" w:leader="dot" w:pos="9350"/>
        </w:tabs>
        <w:rPr>
          <w:noProof/>
        </w:rPr>
      </w:pPr>
      <w:hyperlink w:anchor="_Toc256000010" w:history="1">
        <w:r>
          <w:rPr>
            <w:rStyle w:val="Hyperlink"/>
          </w:rPr>
          <w:t>11.</w:t>
        </w:r>
        <w:r>
          <w:rPr>
            <w:rStyle w:val="Hyperlink"/>
            <w:noProof/>
          </w:rPr>
          <w:tab/>
        </w:r>
        <w:r>
          <w:rPr>
            <w:rStyle w:val="Hyperlink"/>
          </w:rPr>
          <w:t>Termination</w:t>
        </w:r>
        <w:r>
          <w:rPr>
            <w:rStyle w:val="Hyperlink"/>
          </w:rPr>
          <w:tab/>
        </w:r>
        <w:r>
          <w:fldChar w:fldCharType="begin"/>
        </w:r>
        <w:r>
          <w:rPr>
            <w:rStyle w:val="Hyperlink"/>
          </w:rPr>
          <w:instrText xml:space="preserve"> PAGEREF _Toc256000010 \h </w:instrText>
        </w:r>
        <w:r>
          <w:fldChar w:fldCharType="separate"/>
        </w:r>
        <w:r>
          <w:rPr>
            <w:rStyle w:val="Hyperlink"/>
          </w:rPr>
          <w:t>19</w:t>
        </w:r>
        <w:r>
          <w:fldChar w:fldCharType="end"/>
        </w:r>
      </w:hyperlink>
    </w:p>
    <w:p w14:paraId="002044D0" w14:textId="77777777" w:rsidR="00074F36" w:rsidRDefault="00AB08A1">
      <w:pPr>
        <w:pStyle w:val="TOC1"/>
        <w:tabs>
          <w:tab w:val="left" w:pos="660"/>
          <w:tab w:val="right" w:leader="dot" w:pos="9350"/>
        </w:tabs>
        <w:rPr>
          <w:noProof/>
        </w:rPr>
      </w:pPr>
      <w:hyperlink w:anchor="_Toc256000011" w:history="1">
        <w:r>
          <w:rPr>
            <w:rStyle w:val="Hyperlink"/>
          </w:rPr>
          <w:t>12.</w:t>
        </w:r>
        <w:r>
          <w:rPr>
            <w:rStyle w:val="Hyperlink"/>
            <w:noProof/>
          </w:rPr>
          <w:tab/>
        </w:r>
        <w:r>
          <w:rPr>
            <w:rStyle w:val="Hyperlink"/>
          </w:rPr>
          <w:t>Obligations on termination</w:t>
        </w:r>
        <w:r>
          <w:rPr>
            <w:rStyle w:val="Hyperlink"/>
          </w:rPr>
          <w:tab/>
        </w:r>
        <w:r>
          <w:fldChar w:fldCharType="begin"/>
        </w:r>
        <w:r>
          <w:rPr>
            <w:rStyle w:val="Hyperlink"/>
          </w:rPr>
          <w:instrText xml:space="preserve"> PAGEREF _Toc256000011 \h </w:instrText>
        </w:r>
        <w:r>
          <w:fldChar w:fldCharType="separate"/>
        </w:r>
        <w:r>
          <w:rPr>
            <w:rStyle w:val="Hyperlink"/>
          </w:rPr>
          <w:t>20</w:t>
        </w:r>
        <w:r>
          <w:fldChar w:fldCharType="end"/>
        </w:r>
      </w:hyperlink>
    </w:p>
    <w:p w14:paraId="002044D1" w14:textId="77777777" w:rsidR="00074F36" w:rsidRDefault="00AB08A1">
      <w:pPr>
        <w:pStyle w:val="TOC1"/>
        <w:tabs>
          <w:tab w:val="left" w:pos="660"/>
          <w:tab w:val="right" w:leader="dot" w:pos="9350"/>
        </w:tabs>
        <w:rPr>
          <w:noProof/>
        </w:rPr>
      </w:pPr>
      <w:hyperlink w:anchor="_Toc256000012" w:history="1">
        <w:r>
          <w:rPr>
            <w:rStyle w:val="Hyperlink"/>
          </w:rPr>
          <w:t>13.</w:t>
        </w:r>
        <w:r>
          <w:rPr>
            <w:rStyle w:val="Hyperlink"/>
            <w:noProof/>
          </w:rPr>
          <w:tab/>
        </w:r>
        <w:r>
          <w:rPr>
            <w:rStyle w:val="Hyperlink"/>
          </w:rPr>
          <w:t>Status</w:t>
        </w:r>
        <w:r>
          <w:rPr>
            <w:rStyle w:val="Hyperlink"/>
          </w:rPr>
          <w:tab/>
        </w:r>
        <w:r>
          <w:fldChar w:fldCharType="begin"/>
        </w:r>
        <w:r>
          <w:rPr>
            <w:rStyle w:val="Hyperlink"/>
          </w:rPr>
          <w:instrText xml:space="preserve"> PAGEREF _Toc256000012 \h </w:instrText>
        </w:r>
        <w:r>
          <w:fldChar w:fldCharType="separate"/>
        </w:r>
        <w:r>
          <w:rPr>
            <w:rStyle w:val="Hyperlink"/>
          </w:rPr>
          <w:t>21</w:t>
        </w:r>
        <w:r>
          <w:fldChar w:fldCharType="end"/>
        </w:r>
      </w:hyperlink>
    </w:p>
    <w:p w14:paraId="002044D2" w14:textId="77777777" w:rsidR="00074F36" w:rsidRDefault="00AB08A1">
      <w:pPr>
        <w:pStyle w:val="TOC1"/>
        <w:tabs>
          <w:tab w:val="left" w:pos="660"/>
          <w:tab w:val="right" w:leader="dot" w:pos="9350"/>
        </w:tabs>
        <w:rPr>
          <w:noProof/>
        </w:rPr>
      </w:pPr>
      <w:hyperlink w:anchor="_Toc256000013" w:history="1">
        <w:r>
          <w:rPr>
            <w:rStyle w:val="Hyperlink"/>
          </w:rPr>
          <w:t>14.</w:t>
        </w:r>
        <w:r>
          <w:rPr>
            <w:rStyle w:val="Hyperlink"/>
            <w:noProof/>
          </w:rPr>
          <w:tab/>
        </w:r>
        <w:r>
          <w:rPr>
            <w:rStyle w:val="Hyperlink"/>
          </w:rPr>
          <w:t>Notices</w:t>
        </w:r>
        <w:r>
          <w:rPr>
            <w:rStyle w:val="Hyperlink"/>
          </w:rPr>
          <w:tab/>
        </w:r>
        <w:r>
          <w:fldChar w:fldCharType="begin"/>
        </w:r>
        <w:r>
          <w:rPr>
            <w:rStyle w:val="Hyperlink"/>
          </w:rPr>
          <w:instrText xml:space="preserve"> PAGEREF _Toc256000013 \h </w:instrText>
        </w:r>
        <w:r>
          <w:fldChar w:fldCharType="separate"/>
        </w:r>
        <w:r>
          <w:rPr>
            <w:rStyle w:val="Hyperlink"/>
          </w:rPr>
          <w:t>21</w:t>
        </w:r>
        <w:r>
          <w:fldChar w:fldCharType="end"/>
        </w:r>
      </w:hyperlink>
    </w:p>
    <w:p w14:paraId="002044D3" w14:textId="77777777" w:rsidR="00074F36" w:rsidRDefault="00AB08A1">
      <w:pPr>
        <w:pStyle w:val="TOC1"/>
        <w:tabs>
          <w:tab w:val="left" w:pos="660"/>
          <w:tab w:val="right" w:leader="dot" w:pos="9350"/>
        </w:tabs>
        <w:rPr>
          <w:noProof/>
        </w:rPr>
      </w:pPr>
      <w:hyperlink w:anchor="_Toc256000014" w:history="1">
        <w:r>
          <w:rPr>
            <w:rStyle w:val="Hyperlink"/>
          </w:rPr>
          <w:t>15.</w:t>
        </w:r>
        <w:r>
          <w:rPr>
            <w:rStyle w:val="Hyperlink"/>
            <w:noProof/>
          </w:rPr>
          <w:tab/>
        </w:r>
        <w:r>
          <w:rPr>
            <w:rStyle w:val="Hyperlink"/>
          </w:rPr>
          <w:t>Entire agreement</w:t>
        </w:r>
        <w:r>
          <w:rPr>
            <w:rStyle w:val="Hyperlink"/>
          </w:rPr>
          <w:tab/>
        </w:r>
        <w:r>
          <w:fldChar w:fldCharType="begin"/>
        </w:r>
        <w:r>
          <w:rPr>
            <w:rStyle w:val="Hyperlink"/>
          </w:rPr>
          <w:instrText xml:space="preserve"> PAGEREF _Toc256000014 \h </w:instrText>
        </w:r>
        <w:r>
          <w:fldChar w:fldCharType="separate"/>
        </w:r>
        <w:r>
          <w:rPr>
            <w:rStyle w:val="Hyperlink"/>
          </w:rPr>
          <w:t>22</w:t>
        </w:r>
        <w:r>
          <w:fldChar w:fldCharType="end"/>
        </w:r>
      </w:hyperlink>
    </w:p>
    <w:p w14:paraId="002044D4" w14:textId="77777777" w:rsidR="00074F36" w:rsidRDefault="00AB08A1">
      <w:pPr>
        <w:pStyle w:val="TOC1"/>
        <w:tabs>
          <w:tab w:val="left" w:pos="660"/>
          <w:tab w:val="right" w:leader="dot" w:pos="9350"/>
        </w:tabs>
        <w:rPr>
          <w:noProof/>
        </w:rPr>
      </w:pPr>
      <w:hyperlink w:anchor="_Toc256000015" w:history="1">
        <w:r>
          <w:rPr>
            <w:rStyle w:val="Hyperlink"/>
          </w:rPr>
          <w:t>16.</w:t>
        </w:r>
        <w:r>
          <w:rPr>
            <w:rStyle w:val="Hyperlink"/>
            <w:noProof/>
          </w:rPr>
          <w:tab/>
        </w:r>
        <w:r>
          <w:rPr>
            <w:rStyle w:val="Hyperlink"/>
          </w:rPr>
          <w:t>Variation</w:t>
        </w:r>
        <w:r>
          <w:rPr>
            <w:rStyle w:val="Hyperlink"/>
          </w:rPr>
          <w:tab/>
        </w:r>
        <w:r>
          <w:fldChar w:fldCharType="begin"/>
        </w:r>
        <w:r>
          <w:rPr>
            <w:rStyle w:val="Hyperlink"/>
          </w:rPr>
          <w:instrText xml:space="preserve"> PAGEREF _Toc256000015 \h </w:instrText>
        </w:r>
        <w:r>
          <w:fldChar w:fldCharType="separate"/>
        </w:r>
        <w:r>
          <w:rPr>
            <w:rStyle w:val="Hyperlink"/>
          </w:rPr>
          <w:t>22</w:t>
        </w:r>
        <w:r>
          <w:fldChar w:fldCharType="end"/>
        </w:r>
      </w:hyperlink>
    </w:p>
    <w:p w14:paraId="002044D5" w14:textId="77777777" w:rsidR="00074F36" w:rsidRDefault="00AB08A1">
      <w:pPr>
        <w:pStyle w:val="TOC1"/>
        <w:tabs>
          <w:tab w:val="left" w:pos="660"/>
          <w:tab w:val="right" w:leader="dot" w:pos="9350"/>
        </w:tabs>
        <w:rPr>
          <w:noProof/>
        </w:rPr>
      </w:pPr>
      <w:hyperlink w:anchor="_Toc256000016" w:history="1">
        <w:r>
          <w:rPr>
            <w:rStyle w:val="Hyperlink"/>
          </w:rPr>
          <w:t>17.</w:t>
        </w:r>
        <w:r>
          <w:rPr>
            <w:rStyle w:val="Hyperlink"/>
            <w:noProof/>
          </w:rPr>
          <w:tab/>
        </w:r>
        <w:r>
          <w:rPr>
            <w:rStyle w:val="Hyperlink"/>
          </w:rPr>
          <w:t>Counterparts</w:t>
        </w:r>
        <w:r>
          <w:rPr>
            <w:rStyle w:val="Hyperlink"/>
          </w:rPr>
          <w:tab/>
        </w:r>
        <w:r>
          <w:fldChar w:fldCharType="begin"/>
        </w:r>
        <w:r>
          <w:rPr>
            <w:rStyle w:val="Hyperlink"/>
          </w:rPr>
          <w:instrText xml:space="preserve"> PAGEREF _Toc256000016 \h </w:instrText>
        </w:r>
        <w:r>
          <w:fldChar w:fldCharType="separate"/>
        </w:r>
        <w:r>
          <w:rPr>
            <w:rStyle w:val="Hyperlink"/>
          </w:rPr>
          <w:t>23</w:t>
        </w:r>
        <w:r>
          <w:fldChar w:fldCharType="end"/>
        </w:r>
      </w:hyperlink>
    </w:p>
    <w:p w14:paraId="002044D6" w14:textId="77777777" w:rsidR="00074F36" w:rsidRDefault="00AB08A1">
      <w:pPr>
        <w:pStyle w:val="TOC1"/>
        <w:tabs>
          <w:tab w:val="left" w:pos="660"/>
          <w:tab w:val="right" w:leader="dot" w:pos="9350"/>
        </w:tabs>
        <w:rPr>
          <w:noProof/>
        </w:rPr>
      </w:pPr>
      <w:hyperlink w:anchor="_Toc256000017" w:history="1">
        <w:r>
          <w:rPr>
            <w:rStyle w:val="Hyperlink"/>
          </w:rPr>
          <w:t>18.</w:t>
        </w:r>
        <w:r>
          <w:rPr>
            <w:rStyle w:val="Hyperlink"/>
            <w:noProof/>
          </w:rPr>
          <w:tab/>
        </w:r>
        <w:r>
          <w:rPr>
            <w:rStyle w:val="Hyperlink"/>
          </w:rPr>
          <w:t>Third party rights</w:t>
        </w:r>
        <w:r>
          <w:rPr>
            <w:rStyle w:val="Hyperlink"/>
          </w:rPr>
          <w:tab/>
        </w:r>
        <w:r>
          <w:fldChar w:fldCharType="begin"/>
        </w:r>
        <w:r>
          <w:rPr>
            <w:rStyle w:val="Hyperlink"/>
          </w:rPr>
          <w:instrText xml:space="preserve"> PAGEREF _Toc256000017 \h </w:instrText>
        </w:r>
        <w:r>
          <w:fldChar w:fldCharType="separate"/>
        </w:r>
        <w:r>
          <w:rPr>
            <w:rStyle w:val="Hyperlink"/>
          </w:rPr>
          <w:t>23</w:t>
        </w:r>
        <w:r>
          <w:fldChar w:fldCharType="end"/>
        </w:r>
      </w:hyperlink>
    </w:p>
    <w:p w14:paraId="002044D7" w14:textId="77777777" w:rsidR="00074F36" w:rsidRDefault="00AB08A1">
      <w:pPr>
        <w:pStyle w:val="TOC1"/>
        <w:tabs>
          <w:tab w:val="left" w:pos="660"/>
          <w:tab w:val="right" w:leader="dot" w:pos="9350"/>
        </w:tabs>
        <w:rPr>
          <w:noProof/>
        </w:rPr>
      </w:pPr>
      <w:hyperlink w:anchor="_Toc256000018" w:history="1">
        <w:r>
          <w:rPr>
            <w:rStyle w:val="Hyperlink"/>
          </w:rPr>
          <w:t>19.</w:t>
        </w:r>
        <w:r>
          <w:rPr>
            <w:rStyle w:val="Hyperlink"/>
            <w:noProof/>
          </w:rPr>
          <w:tab/>
        </w:r>
        <w:r>
          <w:rPr>
            <w:rStyle w:val="Hyperlink"/>
          </w:rPr>
          <w:t>Governing law</w:t>
        </w:r>
        <w:r>
          <w:rPr>
            <w:rStyle w:val="Hyperlink"/>
          </w:rPr>
          <w:tab/>
        </w:r>
        <w:r>
          <w:fldChar w:fldCharType="begin"/>
        </w:r>
        <w:r>
          <w:rPr>
            <w:rStyle w:val="Hyperlink"/>
          </w:rPr>
          <w:instrText xml:space="preserve"> PAGEREF _Toc256000018 \h </w:instrText>
        </w:r>
        <w:r>
          <w:fldChar w:fldCharType="separate"/>
        </w:r>
        <w:r>
          <w:rPr>
            <w:rStyle w:val="Hyperlink"/>
          </w:rPr>
          <w:t>23</w:t>
        </w:r>
        <w:r>
          <w:fldChar w:fldCharType="end"/>
        </w:r>
      </w:hyperlink>
    </w:p>
    <w:p w14:paraId="002044D8" w14:textId="77777777" w:rsidR="00074F36" w:rsidRDefault="00AB08A1">
      <w:pPr>
        <w:pStyle w:val="TOC1"/>
        <w:tabs>
          <w:tab w:val="left" w:pos="660"/>
          <w:tab w:val="right" w:leader="dot" w:pos="9350"/>
        </w:tabs>
        <w:rPr>
          <w:noProof/>
        </w:rPr>
      </w:pPr>
      <w:hyperlink w:anchor="_Toc256000019" w:history="1">
        <w:r>
          <w:rPr>
            <w:rStyle w:val="Hyperlink"/>
          </w:rPr>
          <w:t>20.</w:t>
        </w:r>
        <w:r>
          <w:rPr>
            <w:rStyle w:val="Hyperlink"/>
            <w:noProof/>
          </w:rPr>
          <w:tab/>
        </w:r>
        <w:r>
          <w:rPr>
            <w:rStyle w:val="Hyperlink"/>
          </w:rPr>
          <w:t>Jurisdiction</w:t>
        </w:r>
        <w:r>
          <w:rPr>
            <w:rStyle w:val="Hyperlink"/>
          </w:rPr>
          <w:tab/>
        </w:r>
        <w:r>
          <w:fldChar w:fldCharType="begin"/>
        </w:r>
        <w:r>
          <w:rPr>
            <w:rStyle w:val="Hyperlink"/>
          </w:rPr>
          <w:instrText xml:space="preserve"> PAGEREF _Toc256000019 \h </w:instrText>
        </w:r>
        <w:r>
          <w:fldChar w:fldCharType="separate"/>
        </w:r>
        <w:r>
          <w:rPr>
            <w:rStyle w:val="Hyperlink"/>
          </w:rPr>
          <w:t>23</w:t>
        </w:r>
        <w:r>
          <w:fldChar w:fldCharType="end"/>
        </w:r>
      </w:hyperlink>
    </w:p>
    <w:p w14:paraId="002044D9" w14:textId="77777777" w:rsidR="00AB08A1" w:rsidRDefault="00AB08A1" w:rsidP="0068369A">
      <w:pPr>
        <w:pStyle w:val="HeadingLevel2"/>
      </w:pPr>
      <w:r>
        <w:fldChar w:fldCharType="end"/>
      </w:r>
    </w:p>
    <w:p w14:paraId="002044DA" w14:textId="77777777" w:rsidR="00AB08A1" w:rsidRDefault="00AB08A1" w:rsidP="0068369A">
      <w:pPr>
        <w:pStyle w:val="HeadingLevel2"/>
      </w:pPr>
      <w:r>
        <w:t>SCHEDULE</w:t>
      </w:r>
    </w:p>
    <w:p w14:paraId="002044DB" w14:textId="77777777" w:rsidR="00074F36" w:rsidRDefault="00AB08A1">
      <w:pPr>
        <w:pStyle w:val="TOC1"/>
        <w:tabs>
          <w:tab w:val="left" w:pos="1540"/>
          <w:tab w:val="right" w:leader="dot" w:pos="9350"/>
        </w:tabs>
        <w:rPr>
          <w:noProof/>
        </w:rPr>
      </w:pPr>
      <w:r>
        <w:rPr>
          <w:rFonts w:eastAsia="Arial"/>
          <w:lang w:eastAsia="en-GB"/>
        </w:rPr>
        <w:fldChar w:fldCharType="begin"/>
      </w:r>
      <w:r>
        <w:rPr>
          <w:color w:val="000000"/>
        </w:rPr>
        <w:instrText>TOC \t "Schedule Title Clause, 1, Schedule, 1, Part, 1, Part Title, 1" \h</w:instrText>
      </w:r>
      <w:r>
        <w:rPr>
          <w:rFonts w:eastAsia="Arial"/>
          <w:lang w:eastAsia="en-GB"/>
        </w:rPr>
        <w:fldChar w:fldCharType="separate"/>
      </w:r>
      <w:hyperlink w:anchor="_Toc256000020" w:history="1">
        <w:r>
          <w:rPr>
            <w:rStyle w:val="Hyperlink"/>
          </w:rPr>
          <w:t>Schedule 1</w:t>
        </w:r>
        <w:r>
          <w:rPr>
            <w:rStyle w:val="Hyperlink"/>
            <w:noProof/>
          </w:rPr>
          <w:tab/>
        </w:r>
        <w:r>
          <w:rPr>
            <w:rStyle w:val="Hyperlink"/>
          </w:rPr>
          <w:t>Services</w:t>
        </w:r>
        <w:r>
          <w:rPr>
            <w:rStyle w:val="Hyperlink"/>
          </w:rPr>
          <w:tab/>
        </w:r>
        <w:r>
          <w:fldChar w:fldCharType="begin"/>
        </w:r>
        <w:r>
          <w:rPr>
            <w:rStyle w:val="Hyperlink"/>
          </w:rPr>
          <w:instrText xml:space="preserve"> PAGEREF _Toc256000020 \h </w:instrText>
        </w:r>
        <w:r>
          <w:fldChar w:fldCharType="separate"/>
        </w:r>
        <w:r>
          <w:rPr>
            <w:rStyle w:val="Hyperlink"/>
          </w:rPr>
          <w:t>24</w:t>
        </w:r>
        <w:r>
          <w:fldChar w:fldCharType="end"/>
        </w:r>
      </w:hyperlink>
    </w:p>
    <w:p w14:paraId="002044DC" w14:textId="77777777" w:rsidR="00074F36" w:rsidRDefault="00AB08A1">
      <w:pPr>
        <w:pStyle w:val="TOC1"/>
        <w:tabs>
          <w:tab w:val="left" w:pos="1540"/>
          <w:tab w:val="right" w:leader="dot" w:pos="9350"/>
        </w:tabs>
        <w:rPr>
          <w:noProof/>
        </w:rPr>
      </w:pPr>
      <w:hyperlink w:anchor="_Toc256000021" w:history="1">
        <w:r>
          <w:rPr>
            <w:rStyle w:val="Hyperlink"/>
          </w:rPr>
          <w:t>Schedule 2</w:t>
        </w:r>
        <w:r>
          <w:rPr>
            <w:rStyle w:val="Hyperlink"/>
            <w:noProof/>
          </w:rPr>
          <w:tab/>
        </w:r>
        <w:r>
          <w:rPr>
            <w:rStyle w:val="Hyperlink"/>
          </w:rPr>
          <w:t>Processing, Personal data and Data subjects</w:t>
        </w:r>
        <w:r>
          <w:rPr>
            <w:rStyle w:val="Hyperlink"/>
          </w:rPr>
          <w:tab/>
        </w:r>
        <w:r>
          <w:fldChar w:fldCharType="begin"/>
        </w:r>
        <w:r>
          <w:rPr>
            <w:rStyle w:val="Hyperlink"/>
          </w:rPr>
          <w:instrText xml:space="preserve"> PAGEREF _Toc256000021 \h </w:instrText>
        </w:r>
        <w:r>
          <w:fldChar w:fldCharType="separate"/>
        </w:r>
        <w:r>
          <w:rPr>
            <w:rStyle w:val="Hyperlink"/>
          </w:rPr>
          <w:t>25</w:t>
        </w:r>
        <w:r>
          <w:fldChar w:fldCharType="end"/>
        </w:r>
      </w:hyperlink>
    </w:p>
    <w:p w14:paraId="002044DD" w14:textId="77777777" w:rsidR="00074F36" w:rsidRDefault="00AB08A1">
      <w:pPr>
        <w:pStyle w:val="TOC1"/>
        <w:tabs>
          <w:tab w:val="left" w:pos="880"/>
          <w:tab w:val="right" w:leader="dot" w:pos="9350"/>
        </w:tabs>
        <w:rPr>
          <w:noProof/>
        </w:rPr>
      </w:pPr>
      <w:hyperlink w:anchor="_Toc256000022" w:history="1">
        <w:r>
          <w:rPr>
            <w:rStyle w:val="Hyperlink"/>
          </w:rPr>
          <w:t>Part 1</w:t>
        </w:r>
        <w:r>
          <w:rPr>
            <w:rStyle w:val="Hyperlink"/>
            <w:noProof/>
          </w:rPr>
          <w:tab/>
        </w:r>
        <w:r>
          <w:rPr>
            <w:rStyle w:val="Hyperlink"/>
          </w:rPr>
          <w:t>PROCESSING BY THE CONSULTANT</w:t>
        </w:r>
        <w:r>
          <w:rPr>
            <w:rStyle w:val="Hyperlink"/>
          </w:rPr>
          <w:tab/>
        </w:r>
        <w:r>
          <w:fldChar w:fldCharType="begin"/>
        </w:r>
        <w:r>
          <w:rPr>
            <w:rStyle w:val="Hyperlink"/>
          </w:rPr>
          <w:instrText xml:space="preserve"> PAGEREF _Toc256000022 \h </w:instrText>
        </w:r>
        <w:r>
          <w:fldChar w:fldCharType="separate"/>
        </w:r>
        <w:r>
          <w:rPr>
            <w:rStyle w:val="Hyperlink"/>
          </w:rPr>
          <w:t>25</w:t>
        </w:r>
        <w:r>
          <w:fldChar w:fldCharType="end"/>
        </w:r>
      </w:hyperlink>
    </w:p>
    <w:p w14:paraId="002044DE" w14:textId="77777777" w:rsidR="00074F36" w:rsidRDefault="00AB08A1">
      <w:pPr>
        <w:pStyle w:val="TOC1"/>
        <w:tabs>
          <w:tab w:val="left" w:pos="440"/>
          <w:tab w:val="right" w:leader="dot" w:pos="9350"/>
        </w:tabs>
        <w:rPr>
          <w:noProof/>
        </w:rPr>
      </w:pPr>
      <w:hyperlink w:anchor="_Toc256000023" w:history="1">
        <w:r>
          <w:rPr>
            <w:rStyle w:val="Hyperlink"/>
          </w:rPr>
          <w:t>1.</w:t>
        </w:r>
        <w:r>
          <w:rPr>
            <w:rStyle w:val="Hyperlink"/>
            <w:noProof/>
          </w:rPr>
          <w:tab/>
        </w:r>
        <w:r>
          <w:rPr>
            <w:rStyle w:val="Hyperlink"/>
          </w:rPr>
          <w:t>SCOPE</w:t>
        </w:r>
        <w:r>
          <w:rPr>
            <w:rStyle w:val="Hyperlink"/>
          </w:rPr>
          <w:tab/>
        </w:r>
        <w:r>
          <w:fldChar w:fldCharType="begin"/>
        </w:r>
        <w:r>
          <w:rPr>
            <w:rStyle w:val="Hyperlink"/>
          </w:rPr>
          <w:instrText xml:space="preserve"> PAGEREF _Toc256000023 \h </w:instrText>
        </w:r>
        <w:r>
          <w:fldChar w:fldCharType="separate"/>
        </w:r>
        <w:r>
          <w:rPr>
            <w:rStyle w:val="Hyperlink"/>
          </w:rPr>
          <w:t>25</w:t>
        </w:r>
        <w:r>
          <w:fldChar w:fldCharType="end"/>
        </w:r>
      </w:hyperlink>
    </w:p>
    <w:p w14:paraId="002044DF" w14:textId="77777777" w:rsidR="00074F36" w:rsidRDefault="00AB08A1">
      <w:pPr>
        <w:pStyle w:val="TOC1"/>
        <w:tabs>
          <w:tab w:val="left" w:pos="440"/>
          <w:tab w:val="right" w:leader="dot" w:pos="9350"/>
        </w:tabs>
        <w:rPr>
          <w:noProof/>
        </w:rPr>
      </w:pPr>
      <w:hyperlink w:anchor="_Toc256000024" w:history="1">
        <w:r>
          <w:rPr>
            <w:rStyle w:val="Hyperlink"/>
          </w:rPr>
          <w:t>2.</w:t>
        </w:r>
        <w:r>
          <w:rPr>
            <w:rStyle w:val="Hyperlink"/>
            <w:noProof/>
          </w:rPr>
          <w:tab/>
        </w:r>
        <w:r>
          <w:rPr>
            <w:rStyle w:val="Hyperlink"/>
          </w:rPr>
          <w:t>NATURE</w:t>
        </w:r>
        <w:r>
          <w:rPr>
            <w:rStyle w:val="Hyperlink"/>
          </w:rPr>
          <w:tab/>
        </w:r>
        <w:r>
          <w:fldChar w:fldCharType="begin"/>
        </w:r>
        <w:r>
          <w:rPr>
            <w:rStyle w:val="Hyperlink"/>
          </w:rPr>
          <w:instrText xml:space="preserve"> PAGEREF _Toc256000024 \h </w:instrText>
        </w:r>
        <w:r>
          <w:fldChar w:fldCharType="separate"/>
        </w:r>
        <w:r>
          <w:rPr>
            <w:rStyle w:val="Hyperlink"/>
          </w:rPr>
          <w:t>25</w:t>
        </w:r>
        <w:r>
          <w:fldChar w:fldCharType="end"/>
        </w:r>
      </w:hyperlink>
    </w:p>
    <w:p w14:paraId="002044E0" w14:textId="77777777" w:rsidR="00074F36" w:rsidRDefault="00AB08A1">
      <w:pPr>
        <w:pStyle w:val="TOC1"/>
        <w:tabs>
          <w:tab w:val="left" w:pos="440"/>
          <w:tab w:val="right" w:leader="dot" w:pos="9350"/>
        </w:tabs>
        <w:rPr>
          <w:noProof/>
        </w:rPr>
      </w:pPr>
      <w:hyperlink w:anchor="_Toc256000025" w:history="1">
        <w:r>
          <w:rPr>
            <w:rStyle w:val="Hyperlink"/>
          </w:rPr>
          <w:t>3.</w:t>
        </w:r>
        <w:r>
          <w:rPr>
            <w:rStyle w:val="Hyperlink"/>
            <w:noProof/>
          </w:rPr>
          <w:tab/>
        </w:r>
        <w:r>
          <w:rPr>
            <w:rStyle w:val="Hyperlink"/>
          </w:rPr>
          <w:t>PURPOSE OF THE PROCESSING</w:t>
        </w:r>
        <w:r>
          <w:rPr>
            <w:rStyle w:val="Hyperlink"/>
          </w:rPr>
          <w:tab/>
        </w:r>
        <w:r>
          <w:fldChar w:fldCharType="begin"/>
        </w:r>
        <w:r>
          <w:rPr>
            <w:rStyle w:val="Hyperlink"/>
          </w:rPr>
          <w:instrText xml:space="preserve"> PAGEREF _Toc256000025 \h </w:instrText>
        </w:r>
        <w:r>
          <w:fldChar w:fldCharType="separate"/>
        </w:r>
        <w:r>
          <w:rPr>
            <w:rStyle w:val="Hyperlink"/>
          </w:rPr>
          <w:t>25</w:t>
        </w:r>
        <w:r>
          <w:fldChar w:fldCharType="end"/>
        </w:r>
      </w:hyperlink>
    </w:p>
    <w:p w14:paraId="002044E1" w14:textId="77777777" w:rsidR="00074F36" w:rsidRDefault="00AB08A1">
      <w:pPr>
        <w:pStyle w:val="TOC1"/>
        <w:tabs>
          <w:tab w:val="left" w:pos="440"/>
          <w:tab w:val="right" w:leader="dot" w:pos="9350"/>
        </w:tabs>
        <w:rPr>
          <w:noProof/>
        </w:rPr>
      </w:pPr>
      <w:hyperlink w:anchor="_Toc256000026" w:history="1">
        <w:r>
          <w:rPr>
            <w:rStyle w:val="Hyperlink"/>
          </w:rPr>
          <w:t>4.</w:t>
        </w:r>
        <w:r>
          <w:rPr>
            <w:rStyle w:val="Hyperlink"/>
            <w:noProof/>
          </w:rPr>
          <w:tab/>
        </w:r>
        <w:r>
          <w:rPr>
            <w:rStyle w:val="Hyperlink"/>
          </w:rPr>
          <w:t>DURATION OF THE PROCESSING</w:t>
        </w:r>
        <w:r>
          <w:rPr>
            <w:rStyle w:val="Hyperlink"/>
          </w:rPr>
          <w:tab/>
        </w:r>
        <w:r>
          <w:fldChar w:fldCharType="begin"/>
        </w:r>
        <w:r>
          <w:rPr>
            <w:rStyle w:val="Hyperlink"/>
          </w:rPr>
          <w:instrText xml:space="preserve"> PAGEREF _Toc256000026 \h </w:instrText>
        </w:r>
        <w:r>
          <w:fldChar w:fldCharType="separate"/>
        </w:r>
        <w:r>
          <w:rPr>
            <w:rStyle w:val="Hyperlink"/>
          </w:rPr>
          <w:t>25</w:t>
        </w:r>
        <w:r>
          <w:fldChar w:fldCharType="end"/>
        </w:r>
      </w:hyperlink>
    </w:p>
    <w:p w14:paraId="002044E2" w14:textId="77777777" w:rsidR="00074F36" w:rsidRDefault="00AB08A1">
      <w:pPr>
        <w:pStyle w:val="TOC1"/>
        <w:tabs>
          <w:tab w:val="left" w:pos="880"/>
          <w:tab w:val="right" w:leader="dot" w:pos="9350"/>
        </w:tabs>
        <w:rPr>
          <w:noProof/>
        </w:rPr>
      </w:pPr>
      <w:hyperlink w:anchor="_Toc256000027" w:history="1">
        <w:r>
          <w:rPr>
            <w:rStyle w:val="Hyperlink"/>
          </w:rPr>
          <w:t>Part 2</w:t>
        </w:r>
        <w:r>
          <w:rPr>
            <w:rStyle w:val="Hyperlink"/>
            <w:noProof/>
          </w:rPr>
          <w:tab/>
        </w:r>
        <w:r>
          <w:rPr>
            <w:rStyle w:val="Hyperlink"/>
          </w:rPr>
          <w:t>TYPES OF PERSONAL DATA</w:t>
        </w:r>
        <w:r>
          <w:rPr>
            <w:rStyle w:val="Hyperlink"/>
          </w:rPr>
          <w:tab/>
        </w:r>
        <w:r>
          <w:fldChar w:fldCharType="begin"/>
        </w:r>
        <w:r>
          <w:rPr>
            <w:rStyle w:val="Hyperlink"/>
          </w:rPr>
          <w:instrText xml:space="preserve"> PAGEREF _Toc256000027 \h </w:instrText>
        </w:r>
        <w:r>
          <w:fldChar w:fldCharType="separate"/>
        </w:r>
        <w:r>
          <w:rPr>
            <w:rStyle w:val="Hyperlink"/>
          </w:rPr>
          <w:t>25</w:t>
        </w:r>
        <w:r>
          <w:fldChar w:fldCharType="end"/>
        </w:r>
      </w:hyperlink>
    </w:p>
    <w:p w14:paraId="002044E3" w14:textId="77777777" w:rsidR="00074F36" w:rsidRDefault="00AB08A1">
      <w:pPr>
        <w:pStyle w:val="TOC1"/>
        <w:tabs>
          <w:tab w:val="left" w:pos="880"/>
          <w:tab w:val="right" w:leader="dot" w:pos="9350"/>
        </w:tabs>
        <w:rPr>
          <w:noProof/>
        </w:rPr>
      </w:pPr>
      <w:hyperlink w:anchor="_Toc256000028" w:history="1">
        <w:r>
          <w:rPr>
            <w:rStyle w:val="Hyperlink"/>
          </w:rPr>
          <w:t>Part 3</w:t>
        </w:r>
        <w:r>
          <w:rPr>
            <w:rStyle w:val="Hyperlink"/>
            <w:noProof/>
          </w:rPr>
          <w:tab/>
        </w:r>
        <w:r>
          <w:rPr>
            <w:rStyle w:val="Hyperlink"/>
          </w:rPr>
          <w:t>CATEGORIES OF DATA SUBJECT</w:t>
        </w:r>
        <w:r>
          <w:rPr>
            <w:rStyle w:val="Hyperlink"/>
          </w:rPr>
          <w:tab/>
        </w:r>
        <w:r>
          <w:fldChar w:fldCharType="begin"/>
        </w:r>
        <w:r>
          <w:rPr>
            <w:rStyle w:val="Hyperlink"/>
          </w:rPr>
          <w:instrText xml:space="preserve"> PAGEREF _Toc256000028 \h </w:instrText>
        </w:r>
        <w:r>
          <w:fldChar w:fldCharType="separate"/>
        </w:r>
        <w:r>
          <w:rPr>
            <w:rStyle w:val="Hyperlink"/>
          </w:rPr>
          <w:t>25</w:t>
        </w:r>
        <w:r>
          <w:fldChar w:fldCharType="end"/>
        </w:r>
      </w:hyperlink>
    </w:p>
    <w:p w14:paraId="002044E4" w14:textId="77777777" w:rsidR="00074F36" w:rsidRDefault="00AB08A1">
      <w:pPr>
        <w:pStyle w:val="TOC1"/>
        <w:tabs>
          <w:tab w:val="left" w:pos="1540"/>
          <w:tab w:val="right" w:leader="dot" w:pos="9350"/>
        </w:tabs>
        <w:rPr>
          <w:noProof/>
        </w:rPr>
      </w:pPr>
      <w:hyperlink w:anchor="_Toc256000029" w:history="1">
        <w:r>
          <w:rPr>
            <w:rStyle w:val="Hyperlink"/>
          </w:rPr>
          <w:t>Schedule 3</w:t>
        </w:r>
        <w:r>
          <w:rPr>
            <w:rStyle w:val="Hyperlink"/>
            <w:noProof/>
          </w:rPr>
          <w:tab/>
        </w:r>
        <w:r>
          <w:rPr>
            <w:rStyle w:val="Hyperlink"/>
          </w:rPr>
          <w:t>[Ethics and Anti-bribery and Anti-corruption policies]</w:t>
        </w:r>
        <w:r>
          <w:rPr>
            <w:rStyle w:val="Hyperlink"/>
          </w:rPr>
          <w:tab/>
        </w:r>
        <w:r>
          <w:fldChar w:fldCharType="begin"/>
        </w:r>
        <w:r>
          <w:rPr>
            <w:rStyle w:val="Hyperlink"/>
          </w:rPr>
          <w:instrText xml:space="preserve"> PAGEREF _Toc256000029 \h </w:instrText>
        </w:r>
        <w:r>
          <w:fldChar w:fldCharType="separate"/>
        </w:r>
        <w:r>
          <w:rPr>
            <w:rStyle w:val="Hyperlink"/>
          </w:rPr>
          <w:t>26</w:t>
        </w:r>
        <w:r>
          <w:fldChar w:fldCharType="end"/>
        </w:r>
      </w:hyperlink>
    </w:p>
    <w:p w14:paraId="002044E5" w14:textId="77777777" w:rsidR="00074F36" w:rsidRDefault="00AB08A1">
      <w:pPr>
        <w:pStyle w:val="TOC1"/>
        <w:tabs>
          <w:tab w:val="left" w:pos="1540"/>
          <w:tab w:val="right" w:leader="dot" w:pos="9350"/>
        </w:tabs>
        <w:rPr>
          <w:noProof/>
        </w:rPr>
      </w:pPr>
      <w:hyperlink w:anchor="_Toc256000030" w:history="1">
        <w:r>
          <w:rPr>
            <w:rStyle w:val="Hyperlink"/>
          </w:rPr>
          <w:t>Schedule 4</w:t>
        </w:r>
        <w:r>
          <w:rPr>
            <w:rStyle w:val="Hyperlink"/>
            <w:noProof/>
          </w:rPr>
          <w:tab/>
        </w:r>
        <w:r>
          <w:rPr>
            <w:rStyle w:val="Hyperlink"/>
          </w:rPr>
          <w:t>[Anti-facilitation of tax evasion policy]</w:t>
        </w:r>
        <w:r>
          <w:rPr>
            <w:rStyle w:val="Hyperlink"/>
          </w:rPr>
          <w:tab/>
        </w:r>
        <w:r>
          <w:fldChar w:fldCharType="begin"/>
        </w:r>
        <w:r>
          <w:rPr>
            <w:rStyle w:val="Hyperlink"/>
          </w:rPr>
          <w:instrText xml:space="preserve"> PAGEREF _Toc256000030 \h </w:instrText>
        </w:r>
        <w:r>
          <w:fldChar w:fldCharType="separate"/>
        </w:r>
        <w:r>
          <w:rPr>
            <w:rStyle w:val="Hyperlink"/>
          </w:rPr>
          <w:t>27</w:t>
        </w:r>
        <w:r>
          <w:fldChar w:fldCharType="end"/>
        </w:r>
      </w:hyperlink>
    </w:p>
    <w:p w14:paraId="002044E6" w14:textId="77777777" w:rsidR="00074F36" w:rsidRDefault="00AB08A1">
      <w:pPr>
        <w:pStyle w:val="TOC1"/>
        <w:tabs>
          <w:tab w:val="left" w:pos="1540"/>
          <w:tab w:val="right" w:leader="dot" w:pos="9350"/>
        </w:tabs>
        <w:rPr>
          <w:noProof/>
        </w:rPr>
      </w:pPr>
      <w:hyperlink w:anchor="_Toc256000031" w:history="1">
        <w:r>
          <w:rPr>
            <w:rStyle w:val="Hyperlink"/>
          </w:rPr>
          <w:t>Schedule 5</w:t>
        </w:r>
        <w:r>
          <w:rPr>
            <w:rStyle w:val="Hyperlink"/>
            <w:noProof/>
          </w:rPr>
          <w:tab/>
        </w:r>
        <w:r>
          <w:rPr>
            <w:rStyle w:val="Hyperlink"/>
          </w:rPr>
          <w:t>[Industry Codes]</w:t>
        </w:r>
        <w:r>
          <w:rPr>
            <w:rStyle w:val="Hyperlink"/>
          </w:rPr>
          <w:tab/>
        </w:r>
        <w:r>
          <w:fldChar w:fldCharType="begin"/>
        </w:r>
        <w:r>
          <w:rPr>
            <w:rStyle w:val="Hyperlink"/>
          </w:rPr>
          <w:instrText xml:space="preserve"> PAGEREF _Toc256000031 \h </w:instrText>
        </w:r>
        <w:r>
          <w:fldChar w:fldCharType="separate"/>
        </w:r>
        <w:r>
          <w:rPr>
            <w:rStyle w:val="Hyperlink"/>
          </w:rPr>
          <w:t>28</w:t>
        </w:r>
        <w:r>
          <w:fldChar w:fldCharType="end"/>
        </w:r>
      </w:hyperlink>
    </w:p>
    <w:p w14:paraId="002044E7" w14:textId="77777777" w:rsidR="00AB08A1" w:rsidRDefault="00AB08A1" w:rsidP="0068369A">
      <w:pPr>
        <w:pStyle w:val="HeadingLevel2"/>
      </w:pPr>
      <w:r>
        <w:fldChar w:fldCharType="end"/>
      </w:r>
    </w:p>
    <w:p w14:paraId="002044E8" w14:textId="77777777" w:rsidR="00AB08A1" w:rsidRDefault="00AB08A1" w:rsidP="0068369A">
      <w:pPr>
        <w:pStyle w:val="HeadingLevel2"/>
        <w:sectPr w:rsidR="00F73771" w:rsidSect="00F73771">
          <w:footerReference w:type="default" r:id="rId11"/>
          <w:pgSz w:w="12240" w:h="15840"/>
          <w:pgMar w:top="1440" w:right="1440" w:bottom="1440" w:left="1440" w:header="720" w:footer="720" w:gutter="0"/>
          <w:pgNumType w:start="1"/>
          <w:cols w:space="720"/>
        </w:sectPr>
      </w:pPr>
    </w:p>
    <w:p w14:paraId="002044E9" w14:textId="77777777" w:rsidR="00AB08A1" w:rsidRDefault="00AB08A1" w:rsidP="0068369A">
      <w:pPr>
        <w:pStyle w:val="HeadingLevel2"/>
      </w:pPr>
    </w:p>
    <w:p w14:paraId="002044EA" w14:textId="77777777" w:rsidR="00AB08A1" w:rsidRDefault="00AB08A1" w:rsidP="0068369A">
      <w:pPr>
        <w:pStyle w:val="IntroDefault"/>
      </w:pPr>
      <w:r>
        <w:t>This agreement is dated [DATE].</w:t>
      </w:r>
    </w:p>
    <w:p w14:paraId="002044EB" w14:textId="77777777" w:rsidR="00AB08A1" w:rsidRDefault="00AB08A1" w:rsidP="0068369A">
      <w:pPr>
        <w:pStyle w:val="DescriptiveHeading"/>
      </w:pPr>
      <w:r>
        <w:t>Parties</w:t>
      </w:r>
    </w:p>
    <w:p w14:paraId="002044EC" w14:textId="77777777" w:rsidR="00AB08A1" w:rsidRDefault="00AB08A1" w:rsidP="0068369A">
      <w:pPr>
        <w:pStyle w:val="Parties"/>
      </w:pPr>
      <w:r>
        <w:t xml:space="preserve">[FULL COMPANY NAME] incorporated and registered in England and Wales with company number [NUMBER] whose registered office is at [REGISTERED OFFICE </w:t>
      </w:r>
      <w:proofErr w:type="gramStart"/>
      <w:r>
        <w:t>ADDRESS]  (</w:t>
      </w:r>
      <w:proofErr w:type="gramEnd"/>
      <w:r>
        <w:rPr>
          <w:rStyle w:val="DefTerm"/>
        </w:rPr>
        <w:t>Client</w:t>
      </w:r>
      <w:r>
        <w:t xml:space="preserve">) </w:t>
      </w:r>
    </w:p>
    <w:p w14:paraId="002044ED" w14:textId="77777777" w:rsidR="00AB08A1" w:rsidRDefault="00AB08A1" w:rsidP="0068369A">
      <w:pPr>
        <w:pStyle w:val="Parties"/>
      </w:pPr>
      <w:r>
        <w:t>[INDIVIDUAL NAME] of [</w:t>
      </w:r>
      <w:proofErr w:type="gramStart"/>
      <w:r>
        <w:t>ADDRESS]  (</w:t>
      </w:r>
      <w:proofErr w:type="gramEnd"/>
      <w:r>
        <w:rPr>
          <w:rStyle w:val="DefTerm"/>
        </w:rPr>
        <w:t>Consultant</w:t>
      </w:r>
      <w:r>
        <w:t xml:space="preserve">) </w:t>
      </w:r>
    </w:p>
    <w:p w14:paraId="002044EE" w14:textId="77777777" w:rsidR="00AB08A1" w:rsidRDefault="00AB08A1" w:rsidP="0068369A">
      <w:pPr>
        <w:pStyle w:val="DescriptiveHeading"/>
      </w:pPr>
      <w:r>
        <w:t>Agreed terms</w:t>
      </w:r>
    </w:p>
    <w:p w14:paraId="002044EF" w14:textId="77777777" w:rsidR="00AB08A1" w:rsidRDefault="00AB08A1" w:rsidP="0068369A">
      <w:pPr>
        <w:pStyle w:val="TitleClause"/>
      </w:pPr>
      <w:r>
        <w:fldChar w:fldCharType="begin"/>
      </w:r>
      <w:r>
        <w:instrText xml:space="preserve">TC "1. </w:instrText>
      </w:r>
      <w:r>
        <w:instrText>Interpretation" \l 1</w:instrText>
      </w:r>
      <w:r>
        <w:fldChar w:fldCharType="end"/>
      </w:r>
      <w:bookmarkStart w:id="0" w:name="_Toc256000000"/>
      <w:bookmarkStart w:id="1" w:name="a284888"/>
      <w:r>
        <w:t>Interpretation</w:t>
      </w:r>
      <w:bookmarkEnd w:id="0"/>
      <w:bookmarkEnd w:id="1"/>
    </w:p>
    <w:p w14:paraId="002044F0" w14:textId="77777777" w:rsidR="00AB08A1" w:rsidRDefault="00AB08A1" w:rsidP="0068369A">
      <w:pPr>
        <w:pStyle w:val="ParaClause"/>
      </w:pPr>
      <w:r>
        <w:t>The following definitions and rules of interpretation apply in this agreement (unless the context requires otherwise).</w:t>
      </w:r>
    </w:p>
    <w:p w14:paraId="002044F1" w14:textId="77777777" w:rsidR="00AB08A1" w:rsidRDefault="00AB08A1" w:rsidP="0068369A">
      <w:pPr>
        <w:pStyle w:val="Untitledsubclause1"/>
      </w:pPr>
      <w:bookmarkStart w:id="2" w:name="a680097"/>
      <w:r>
        <w:t>Definitions:</w:t>
      </w:r>
      <w:bookmarkEnd w:id="2"/>
    </w:p>
    <w:p w14:paraId="002044F2" w14:textId="77777777" w:rsidR="00AB08A1" w:rsidRDefault="00AB08A1" w:rsidP="0068369A">
      <w:pPr>
        <w:pStyle w:val="DefinedTermPara"/>
        <w:rPr>
          <w:rStyle w:val="DefTerm"/>
        </w:rPr>
      </w:pPr>
      <w:bookmarkStart w:id="3" w:name="a535976"/>
      <w:r>
        <w:rPr>
          <w:rStyle w:val="DefTerm"/>
        </w:rPr>
        <w:t>Board</w:t>
      </w:r>
      <w:r>
        <w:t>: the board of directors of the Client (including any committee of the board duly appointed by it).</w:t>
      </w:r>
      <w:bookmarkEnd w:id="3"/>
    </w:p>
    <w:p w14:paraId="002044F3" w14:textId="77777777" w:rsidR="00AB08A1" w:rsidRDefault="00AB08A1" w:rsidP="0068369A">
      <w:pPr>
        <w:pStyle w:val="DefinedTermPara"/>
        <w:rPr>
          <w:rStyle w:val="DefTerm"/>
        </w:rPr>
      </w:pPr>
      <w:bookmarkStart w:id="4" w:name="a940965"/>
      <w:r>
        <w:rPr>
          <w:rStyle w:val="DefTerm"/>
        </w:rPr>
        <w:t>Business of the Client</w:t>
      </w:r>
      <w:r>
        <w:t>: [THE CLIENT'S MAIN BUSINESS PURPOSE AND ACTIVITIES].</w:t>
      </w:r>
      <w:bookmarkEnd w:id="4"/>
    </w:p>
    <w:p w14:paraId="002044F4" w14:textId="77777777" w:rsidR="00AB08A1" w:rsidRPr="00961037" w:rsidRDefault="00AB08A1" w:rsidP="0068369A">
      <w:pPr>
        <w:pStyle w:val="DefinedTermPara"/>
        <w:rPr>
          <w:b/>
        </w:rPr>
      </w:pPr>
      <w:bookmarkStart w:id="5" w:name="a404603"/>
      <w:r>
        <w:rPr>
          <w:rStyle w:val="DefTerm"/>
        </w:rPr>
        <w:t>Business Opportunities</w:t>
      </w:r>
      <w:r>
        <w:t xml:space="preserve">: any opportunities which the Consultant becomes aware of during the Engagement which relate to the Business of the Client [or any </w:t>
      </w:r>
      <w:r>
        <w:t>Group Company] or which the Board reasonably considers might be of benefit to the Client [or any Group Company].</w:t>
      </w:r>
      <w:bookmarkEnd w:id="5"/>
    </w:p>
    <w:p w14:paraId="002044F5" w14:textId="77777777" w:rsidR="00AB08A1" w:rsidRPr="00961037" w:rsidRDefault="00AB08A1" w:rsidP="0068369A">
      <w:pPr>
        <w:pStyle w:val="DefinedTermPara"/>
      </w:pPr>
      <w:bookmarkStart w:id="6" w:name="a495482"/>
      <w:r>
        <w:rPr>
          <w:rStyle w:val="DefTerm"/>
        </w:rPr>
        <w:t>Business Day</w:t>
      </w:r>
      <w:r>
        <w:t>: a day, other than a Saturday, Sunday or public holiday in England, when banks in London are open for business.</w:t>
      </w:r>
      <w:bookmarkEnd w:id="6"/>
    </w:p>
    <w:p w14:paraId="002044F6" w14:textId="77777777" w:rsidR="00AB08A1" w:rsidRDefault="00AB08A1" w:rsidP="0068369A">
      <w:pPr>
        <w:pStyle w:val="DefinedTermPara"/>
        <w:rPr>
          <w:rStyle w:val="DefTerm"/>
        </w:rPr>
      </w:pPr>
      <w:bookmarkStart w:id="7" w:name="a362606"/>
      <w:r>
        <w:rPr>
          <w:rStyle w:val="DefTerm"/>
        </w:rPr>
        <w:t>Capacity</w:t>
      </w:r>
      <w:r>
        <w:t>: as agent, consultant, director, employee, owner, partner, shareholder or in any other capacity.</w:t>
      </w:r>
      <w:bookmarkEnd w:id="7"/>
    </w:p>
    <w:p w14:paraId="002044F7" w14:textId="77777777" w:rsidR="00AB08A1" w:rsidRDefault="00AB08A1" w:rsidP="0068369A">
      <w:pPr>
        <w:pStyle w:val="DefinedTermPara"/>
        <w:rPr>
          <w:rStyle w:val="DefTerm"/>
        </w:rPr>
      </w:pPr>
      <w:bookmarkStart w:id="8" w:name="a362180"/>
      <w:r>
        <w:rPr>
          <w:rStyle w:val="DefTerm"/>
        </w:rPr>
        <w:t>Client Property</w:t>
      </w:r>
      <w:r>
        <w:t>: all documents, books, manuals, materials, records, correspondence, papers and information (on whatever media and wherever located) relating to the Business or affairs of the Client [or Group Company] or its [or their] customers and business contacts, and any equipment, keys, hardware or software provided for the Consultant's use by the Client during the Engagement, and any data or documents (including copies) produced, maintained or stored by the Consultant on the Client's or the Consultant's computer sys</w:t>
      </w:r>
      <w:r>
        <w:t>tems or other electronic equipment during the Engagement.</w:t>
      </w:r>
      <w:bookmarkEnd w:id="8"/>
    </w:p>
    <w:p w14:paraId="002044F8" w14:textId="77777777" w:rsidR="00AB08A1" w:rsidRDefault="00AB08A1" w:rsidP="0068369A">
      <w:pPr>
        <w:pStyle w:val="DefinedTermPara"/>
        <w:rPr>
          <w:rStyle w:val="DefTerm"/>
        </w:rPr>
      </w:pPr>
      <w:bookmarkStart w:id="9" w:name="a364540"/>
      <w:r>
        <w:rPr>
          <w:rStyle w:val="DefTerm"/>
          <w:b w:val="0"/>
        </w:rPr>
        <w:lastRenderedPageBreak/>
        <w:t>[</w:t>
      </w:r>
      <w:r>
        <w:rPr>
          <w:rStyle w:val="DefTerm"/>
        </w:rPr>
        <w:t>Confidential Information</w:t>
      </w:r>
      <w:r>
        <w:t xml:space="preserve">: information in whatever form (including in written, oral, visual or electronic form or on any magnetic or optical disk or memory) and wherever located relating to [the Client's </w:t>
      </w:r>
      <w:r>
        <w:rPr>
          <w:b/>
          <w:bCs/>
        </w:rPr>
        <w:t>OR</w:t>
      </w:r>
      <w:r>
        <w:t xml:space="preserve"> any Group Company's] business, clients, customers, suppliers, products, assets, affairs and finances that is confidential to [the Client </w:t>
      </w:r>
      <w:r>
        <w:rPr>
          <w:b/>
          <w:bCs/>
        </w:rPr>
        <w:t xml:space="preserve">OR </w:t>
      </w:r>
      <w:r>
        <w:t xml:space="preserve">any Group Company] and trade secrets relating to [the Client's </w:t>
      </w:r>
      <w:r>
        <w:rPr>
          <w:b/>
          <w:bCs/>
        </w:rPr>
        <w:t>OR</w:t>
      </w:r>
      <w:r>
        <w:t xml:space="preserve"> any Group Company's] business or any of its suppliers, clients, customers, agents, distributors, sha</w:t>
      </w:r>
      <w:r>
        <w:t>reholders, management or business contacts, including technical data and know-how [ADD SPECIFIC EXAMPLES AS NECESSARY], [that the Consultant creates, develops, receives or obtains in connection with the Engagement], whether or not such information (if in anything other than oral form) is marked confidential.</w:t>
      </w:r>
      <w:r>
        <w:fldChar w:fldCharType="begin"/>
      </w:r>
      <w:r>
        <w:fldChar w:fldCharType="end"/>
      </w:r>
      <w:r>
        <w:t>]</w:t>
      </w:r>
      <w:bookmarkEnd w:id="9"/>
    </w:p>
    <w:p w14:paraId="002044F9" w14:textId="77777777" w:rsidR="00AB08A1" w:rsidRPr="00F601BD" w:rsidRDefault="00AB08A1" w:rsidP="0068369A">
      <w:pPr>
        <w:pStyle w:val="DefinedTermPara"/>
      </w:pPr>
      <w:bookmarkStart w:id="10" w:name="a256239"/>
      <w:r>
        <w:rPr>
          <w:rStyle w:val="DefTerm"/>
          <w:b w:val="0"/>
        </w:rPr>
        <w:t>[</w:t>
      </w:r>
      <w:r>
        <w:rPr>
          <w:rStyle w:val="DefTerm"/>
        </w:rPr>
        <w:t>Copies</w:t>
      </w:r>
      <w:r>
        <w:t>: copies or records of any Confidential Information in whatever form (including in written, oral, visual or electronic form or on any magnetic or optical disk or memory) and wherever located, and extracts, analysis, studies, plans, compilations or any other way of representing or recording and recalling information which contains, reflects or is derived or generated from Confidential Information.</w:t>
      </w:r>
      <w:r>
        <w:fldChar w:fldCharType="begin"/>
      </w:r>
      <w:r>
        <w:fldChar w:fldCharType="end"/>
      </w:r>
      <w:r>
        <w:t>]</w:t>
      </w:r>
      <w:bookmarkEnd w:id="10"/>
    </w:p>
    <w:p w14:paraId="002044FA" w14:textId="77777777" w:rsidR="00AB08A1" w:rsidRPr="004F19AC" w:rsidRDefault="00AB08A1" w:rsidP="0068369A">
      <w:pPr>
        <w:pStyle w:val="DefinedTermPara"/>
      </w:pPr>
      <w:bookmarkStart w:id="11" w:name="a542514"/>
      <w:r>
        <w:t>[</w:t>
      </w:r>
      <w:r>
        <w:rPr>
          <w:rStyle w:val="DefTerm"/>
        </w:rPr>
        <w:t>Deliverable</w:t>
      </w:r>
      <w:r>
        <w:t xml:space="preserve">: any outputs of the Services and any other documents or materials provided by the Consultant to the Client as specified in </w:t>
      </w:r>
      <w:r>
        <w:fldChar w:fldCharType="begin"/>
      </w:r>
      <w:r>
        <w:rPr>
          <w:highlight w:val="lightGray"/>
        </w:rPr>
        <w:instrText>REF a551048 \h \w</w:instrText>
      </w:r>
      <w:r>
        <w:fldChar w:fldCharType="separate"/>
      </w:r>
      <w:r>
        <w:t>Schedule 1</w:t>
      </w:r>
      <w:r>
        <w:fldChar w:fldCharType="end"/>
      </w:r>
      <w:r>
        <w:t xml:space="preserve"> or in relation to the Services (excluding the Consultant's equipment).]</w:t>
      </w:r>
      <w:bookmarkEnd w:id="11"/>
    </w:p>
    <w:p w14:paraId="002044FB" w14:textId="77777777" w:rsidR="00AB08A1" w:rsidRPr="00F601BD" w:rsidRDefault="00AB08A1" w:rsidP="0068369A">
      <w:pPr>
        <w:pStyle w:val="DefinedTermPara"/>
      </w:pPr>
      <w:bookmarkStart w:id="12" w:name="a194152"/>
      <w:r>
        <w:rPr>
          <w:rStyle w:val="DefTerm"/>
        </w:rPr>
        <w:t>Data Protection Legislation</w:t>
      </w:r>
      <w:r>
        <w:t xml:space="preserve">: all applicable data protection and privacy legislation in force from time to time in the UK including the retained EU law version of the General Data Protection Regulation ((EU) 2016/679) (UK GDPR), the Data Protection Act 2018 (and regulations made thereunder) or any successor legislation, and all other legislation and regulatory requirements in force from time to time which apply to a party relating to the use of personal data (including, without limitation, the privacy of electronic communications). </w:t>
      </w:r>
      <w:bookmarkEnd w:id="12"/>
    </w:p>
    <w:p w14:paraId="002044FC" w14:textId="77777777" w:rsidR="00AB08A1" w:rsidRPr="00F601BD" w:rsidRDefault="00AB08A1" w:rsidP="0068369A">
      <w:pPr>
        <w:pStyle w:val="DefinedTermPara"/>
      </w:pPr>
      <w:bookmarkStart w:id="13" w:name="a964328"/>
      <w:r>
        <w:rPr>
          <w:rStyle w:val="DefTerm"/>
        </w:rPr>
        <w:t>Engagement</w:t>
      </w:r>
      <w:r>
        <w:t>: the engagement of the Consultant by the Client on the terms of this agreement.</w:t>
      </w:r>
      <w:bookmarkEnd w:id="13"/>
    </w:p>
    <w:p w14:paraId="002044FD" w14:textId="77777777" w:rsidR="00AB08A1" w:rsidRDefault="00AB08A1" w:rsidP="0068369A">
      <w:pPr>
        <w:pStyle w:val="DefinedTermPara"/>
        <w:rPr>
          <w:rStyle w:val="DefTerm"/>
        </w:rPr>
      </w:pPr>
      <w:bookmarkStart w:id="14" w:name="a892382"/>
      <w:r>
        <w:rPr>
          <w:rStyle w:val="DefTerm"/>
          <w:b w:val="0"/>
        </w:rPr>
        <w:t>[</w:t>
      </w:r>
      <w:r>
        <w:rPr>
          <w:rStyle w:val="DefTerm"/>
        </w:rPr>
        <w:t>Group Company</w:t>
      </w:r>
      <w:r>
        <w:rPr>
          <w:rStyle w:val="DefTerm"/>
        </w:rPr>
        <w:fldChar w:fldCharType="begin"/>
      </w:r>
      <w:r>
        <w:rPr>
          <w:rStyle w:val="DefTerm"/>
        </w:rPr>
        <w:instrText xml:space="preserve"> MACROBUTTON optional </w:instrText>
      </w:r>
      <w:r>
        <w:rPr>
          <w:rStyle w:val="DefTerm"/>
        </w:rPr>
        <w:fldChar w:fldCharType="end"/>
      </w:r>
      <w:r>
        <w:t>: the Client, its subsidiaries or holding companies from time to time and any subsidiary of any holding company from time to time.]</w:t>
      </w:r>
      <w:bookmarkEnd w:id="14"/>
    </w:p>
    <w:p w14:paraId="002044FE" w14:textId="77777777" w:rsidR="00AB08A1" w:rsidRPr="008D38F2" w:rsidRDefault="00AB08A1" w:rsidP="0068369A">
      <w:pPr>
        <w:pStyle w:val="DefinedTermPara"/>
      </w:pPr>
      <w:bookmarkStart w:id="15" w:name="a783284"/>
      <w:r>
        <w:rPr>
          <w:rStyle w:val="DefTerm"/>
          <w:b w:val="0"/>
        </w:rPr>
        <w:t>[</w:t>
      </w:r>
      <w:r>
        <w:rPr>
          <w:rStyle w:val="DefTerm"/>
        </w:rPr>
        <w:t>HMRC</w:t>
      </w:r>
      <w:r>
        <w:rPr>
          <w:rStyle w:val="DefTerm"/>
        </w:rPr>
        <w:fldChar w:fldCharType="begin"/>
      </w:r>
      <w:r>
        <w:rPr>
          <w:rStyle w:val="DefTerm"/>
        </w:rPr>
        <w:instrText xml:space="preserve"> MACROBUTTON optional </w:instrText>
      </w:r>
      <w:r>
        <w:rPr>
          <w:rStyle w:val="DefTerm"/>
        </w:rPr>
        <w:fldChar w:fldCharType="end"/>
      </w:r>
      <w:r>
        <w:t>: HM Revenue &amp; Customs.]</w:t>
      </w:r>
      <w:bookmarkEnd w:id="15"/>
    </w:p>
    <w:p w14:paraId="002044FF" w14:textId="77777777" w:rsidR="00AB08A1" w:rsidRDefault="00AB08A1" w:rsidP="0068369A">
      <w:pPr>
        <w:pStyle w:val="DefinedTermPara"/>
        <w:rPr>
          <w:rStyle w:val="DefTerm"/>
        </w:rPr>
      </w:pPr>
      <w:bookmarkStart w:id="16" w:name="a453644"/>
      <w:r>
        <w:rPr>
          <w:rStyle w:val="DefTerm"/>
          <w:b w:val="0"/>
        </w:rPr>
        <w:t>[</w:t>
      </w:r>
      <w:r>
        <w:rPr>
          <w:rStyle w:val="DefTerm"/>
        </w:rPr>
        <w:t>holding company</w:t>
      </w:r>
      <w:r>
        <w:rPr>
          <w:rStyle w:val="DefTerm"/>
        </w:rPr>
        <w:fldChar w:fldCharType="begin"/>
      </w:r>
      <w:r>
        <w:rPr>
          <w:rStyle w:val="DefTerm"/>
        </w:rPr>
        <w:instrText xml:space="preserve"> MACROBUTTON optional </w:instrText>
      </w:r>
      <w:r>
        <w:rPr>
          <w:rStyle w:val="DefTerm"/>
        </w:rPr>
        <w:fldChar w:fldCharType="end"/>
      </w:r>
      <w:r>
        <w:t xml:space="preserve">: has the meaning given in </w:t>
      </w:r>
      <w:r>
        <w:fldChar w:fldCharType="begin"/>
      </w:r>
      <w:r>
        <w:instrText>PAGEREF a180657\# "'clause '"  \h</w:instrText>
      </w:r>
      <w:r>
        <w:fldChar w:fldCharType="separate"/>
      </w:r>
      <w:r>
        <w:t xml:space="preserve">clause </w:t>
      </w:r>
      <w:r>
        <w:fldChar w:fldCharType="end"/>
      </w:r>
      <w:r>
        <w:fldChar w:fldCharType="begin"/>
      </w:r>
      <w:r>
        <w:rPr>
          <w:highlight w:val="lightGray"/>
        </w:rPr>
        <w:instrText>REF a180657 \h \w</w:instrText>
      </w:r>
      <w:r>
        <w:fldChar w:fldCharType="separate"/>
      </w:r>
      <w:r>
        <w:t>1.7</w:t>
      </w:r>
      <w:r>
        <w:fldChar w:fldCharType="end"/>
      </w:r>
      <w:r>
        <w:rPr>
          <w:rStyle w:val="Hyperlink"/>
        </w:rPr>
        <w:t>.]</w:t>
      </w:r>
      <w:bookmarkEnd w:id="16"/>
    </w:p>
    <w:p w14:paraId="00204500" w14:textId="77777777" w:rsidR="00AB08A1" w:rsidRDefault="00AB08A1" w:rsidP="0068369A">
      <w:pPr>
        <w:pStyle w:val="DefinedTermPara"/>
        <w:rPr>
          <w:rStyle w:val="DefTerm"/>
        </w:rPr>
      </w:pPr>
      <w:bookmarkStart w:id="17" w:name="a793398"/>
      <w:r>
        <w:rPr>
          <w:rStyle w:val="DefTerm"/>
        </w:rPr>
        <w:t>Insurance Policies</w:t>
      </w:r>
      <w:r>
        <w:t>: [commercial general liability insurance cover,] [professional indemnity insurance cover,] [cyber insurance cover</w:t>
      </w:r>
      <w:proofErr w:type="gramStart"/>
      <w:r>
        <w:t>,][</w:t>
      </w:r>
      <w:proofErr w:type="gramEnd"/>
      <w:r>
        <w:t>employer's liability insurance cover] [and public liability insurance cover].</w:t>
      </w:r>
      <w:bookmarkEnd w:id="17"/>
    </w:p>
    <w:p w14:paraId="00204501" w14:textId="77777777" w:rsidR="00AB08A1" w:rsidRDefault="00AB08A1" w:rsidP="0068369A">
      <w:pPr>
        <w:pStyle w:val="DefinedTermPara"/>
        <w:rPr>
          <w:rStyle w:val="DefTerm"/>
        </w:rPr>
      </w:pPr>
      <w:bookmarkStart w:id="18" w:name="a655886"/>
      <w:r>
        <w:rPr>
          <w:rStyle w:val="DefTerm"/>
        </w:rPr>
        <w:t>Intellectual Property Rights</w:t>
      </w:r>
      <w:r>
        <w:t xml:space="preserve">: patents, [utility models,] rights to Inventions, copyright and [neighbouring and] related rights, [moral rights,] trademarks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w:t>
      </w:r>
      <w:r>
        <w:lastRenderedPageBreak/>
        <w:t>information (including know-how [and trade secrets]) and all other intellectual property righ</w:t>
      </w:r>
      <w:r>
        <w:t>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bookmarkEnd w:id="18"/>
    </w:p>
    <w:p w14:paraId="00204502" w14:textId="77777777" w:rsidR="00AB08A1" w:rsidRDefault="00AB08A1" w:rsidP="0068369A">
      <w:pPr>
        <w:pStyle w:val="DefinedTermPara"/>
        <w:rPr>
          <w:rStyle w:val="DefTerm"/>
        </w:rPr>
      </w:pPr>
      <w:bookmarkStart w:id="19" w:name="a474918"/>
      <w:r>
        <w:rPr>
          <w:rStyle w:val="DefTerm"/>
        </w:rPr>
        <w:t>Invention</w:t>
      </w:r>
      <w:r>
        <w:t xml:space="preserve">: any invention, idea, discovery, development, improvement or innovation made by the Consultant in the provision of the Services, </w:t>
      </w:r>
      <w:proofErr w:type="gramStart"/>
      <w:r>
        <w:t>whether or not</w:t>
      </w:r>
      <w:proofErr w:type="gramEnd"/>
      <w:r>
        <w:t xml:space="preserve"> patentable or capable of registration, and </w:t>
      </w:r>
      <w:proofErr w:type="gramStart"/>
      <w:r>
        <w:t>whether or not</w:t>
      </w:r>
      <w:proofErr w:type="gramEnd"/>
      <w:r>
        <w:t xml:space="preserve"> recorded in any medium.</w:t>
      </w:r>
      <w:bookmarkEnd w:id="19"/>
    </w:p>
    <w:p w14:paraId="00204503" w14:textId="77777777" w:rsidR="00AB08A1" w:rsidRDefault="00AB08A1" w:rsidP="0068369A">
      <w:pPr>
        <w:pStyle w:val="DefinedTermPara"/>
        <w:rPr>
          <w:rStyle w:val="DefTerm"/>
        </w:rPr>
      </w:pPr>
      <w:bookmarkStart w:id="20" w:name="a692702"/>
      <w:r>
        <w:rPr>
          <w:rStyle w:val="DefTerm"/>
        </w:rPr>
        <w:t>Services</w:t>
      </w:r>
      <w:r>
        <w:t xml:space="preserve">: the services provided by the Consultant in a consultancy capacity for the Client [or any Group Company] as more particularly described in </w:t>
      </w:r>
      <w:r>
        <w:fldChar w:fldCharType="begin"/>
      </w:r>
      <w:r>
        <w:rPr>
          <w:highlight w:val="lightGray"/>
        </w:rPr>
        <w:instrText>REF a551048 \h \w</w:instrText>
      </w:r>
      <w:r>
        <w:fldChar w:fldCharType="separate"/>
      </w:r>
      <w:r>
        <w:t>Schedule 1</w:t>
      </w:r>
      <w:r>
        <w:fldChar w:fldCharType="end"/>
      </w:r>
      <w:r>
        <w:t>.</w:t>
      </w:r>
      <w:bookmarkEnd w:id="20"/>
    </w:p>
    <w:p w14:paraId="00204504" w14:textId="77777777" w:rsidR="00AB08A1" w:rsidRDefault="00AB08A1" w:rsidP="0068369A">
      <w:pPr>
        <w:pStyle w:val="DefinedTermPara"/>
        <w:rPr>
          <w:rStyle w:val="DefTerm"/>
        </w:rPr>
      </w:pPr>
      <w:bookmarkStart w:id="21" w:name="a866802"/>
      <w:r>
        <w:rPr>
          <w:rStyle w:val="DefTerm"/>
          <w:b w:val="0"/>
        </w:rPr>
        <w:t>[</w:t>
      </w:r>
      <w:r>
        <w:rPr>
          <w:rStyle w:val="DefTerm"/>
        </w:rPr>
        <w:t>subsidiary</w:t>
      </w:r>
      <w:r>
        <w:rPr>
          <w:rStyle w:val="DefTerm"/>
        </w:rPr>
        <w:fldChar w:fldCharType="begin"/>
      </w:r>
      <w:r>
        <w:rPr>
          <w:rStyle w:val="DefTerm"/>
        </w:rPr>
        <w:instrText xml:space="preserve"> MACROBUTTON optional </w:instrText>
      </w:r>
      <w:r>
        <w:rPr>
          <w:rStyle w:val="DefTerm"/>
        </w:rPr>
        <w:fldChar w:fldCharType="end"/>
      </w:r>
      <w:r>
        <w:t xml:space="preserve">: has the meaning given in </w:t>
      </w:r>
      <w:r>
        <w:fldChar w:fldCharType="begin"/>
      </w:r>
      <w:r>
        <w:instrText>PAGEREF a180657\# "'clause '"  \h</w:instrText>
      </w:r>
      <w:r>
        <w:fldChar w:fldCharType="separate"/>
      </w:r>
      <w:r>
        <w:t xml:space="preserve">clause </w:t>
      </w:r>
      <w:r>
        <w:fldChar w:fldCharType="end"/>
      </w:r>
      <w:r>
        <w:fldChar w:fldCharType="begin"/>
      </w:r>
      <w:r>
        <w:rPr>
          <w:highlight w:val="lightGray"/>
        </w:rPr>
        <w:instrText>REF a180657 \h \w</w:instrText>
      </w:r>
      <w:r>
        <w:fldChar w:fldCharType="separate"/>
      </w:r>
      <w:r>
        <w:t>1.7</w:t>
      </w:r>
      <w:r>
        <w:fldChar w:fldCharType="end"/>
      </w:r>
      <w:r>
        <w:t>.]</w:t>
      </w:r>
      <w:bookmarkEnd w:id="21"/>
    </w:p>
    <w:p w14:paraId="00204505" w14:textId="77777777" w:rsidR="00AB08A1" w:rsidRPr="00E2057A" w:rsidRDefault="00AB08A1" w:rsidP="0068369A">
      <w:pPr>
        <w:pStyle w:val="DefinedTermPara"/>
        <w:rPr>
          <w:b/>
        </w:rPr>
      </w:pPr>
      <w:bookmarkStart w:id="22" w:name="a372895"/>
      <w:r>
        <w:rPr>
          <w:rStyle w:val="DefTerm"/>
          <w:b w:val="0"/>
        </w:rPr>
        <w:t>[</w:t>
      </w:r>
      <w:r>
        <w:rPr>
          <w:rStyle w:val="DefTerm"/>
        </w:rPr>
        <w:t>Substitute</w:t>
      </w:r>
      <w:r>
        <w:rPr>
          <w:rStyle w:val="DefTerm"/>
        </w:rPr>
        <w:fldChar w:fldCharType="begin"/>
      </w:r>
      <w:r>
        <w:rPr>
          <w:rStyle w:val="DefTerm"/>
        </w:rPr>
        <w:instrText xml:space="preserve"> MACROBUTTON optional </w:instrText>
      </w:r>
      <w:r>
        <w:rPr>
          <w:rStyle w:val="DefTerm"/>
        </w:rPr>
        <w:fldChar w:fldCharType="end"/>
      </w:r>
      <w:r>
        <w:t xml:space="preserve">: a substitute engaged by the Consultant under the terms of </w:t>
      </w:r>
      <w:r>
        <w:fldChar w:fldCharType="begin"/>
      </w:r>
      <w:r>
        <w:instrText>PAGEREF a506867\# "'clause '"  \h</w:instrText>
      </w:r>
      <w:r>
        <w:fldChar w:fldCharType="separate"/>
      </w:r>
      <w:r>
        <w:t xml:space="preserve">clause </w:t>
      </w:r>
      <w:r>
        <w:fldChar w:fldCharType="end"/>
      </w:r>
      <w:r>
        <w:fldChar w:fldCharType="begin"/>
      </w:r>
      <w:r>
        <w:rPr>
          <w:highlight w:val="lightGray"/>
        </w:rPr>
        <w:instrText>REF a506867 \h \w</w:instrText>
      </w:r>
      <w:r>
        <w:fldChar w:fldCharType="separate"/>
      </w:r>
      <w:r>
        <w:t>3.3</w:t>
      </w:r>
      <w:r>
        <w:fldChar w:fldCharType="end"/>
      </w:r>
      <w:r>
        <w:t>.]</w:t>
      </w:r>
      <w:bookmarkEnd w:id="22"/>
    </w:p>
    <w:p w14:paraId="00204506" w14:textId="77777777" w:rsidR="00AB08A1" w:rsidRPr="00E2057A" w:rsidRDefault="00AB08A1" w:rsidP="0068369A">
      <w:pPr>
        <w:pStyle w:val="DefinedTermPara"/>
        <w:rPr>
          <w:rStyle w:val="DefTerm"/>
        </w:rPr>
      </w:pPr>
      <w:bookmarkStart w:id="23" w:name="a698965"/>
      <w:r>
        <w:rPr>
          <w:rStyle w:val="DefTerm"/>
        </w:rPr>
        <w:t>Start Date</w:t>
      </w:r>
      <w:r>
        <w:t>: [DATE OF START OF ENGAGEMENT].</w:t>
      </w:r>
      <w:bookmarkEnd w:id="23"/>
    </w:p>
    <w:p w14:paraId="00204507" w14:textId="77777777" w:rsidR="00AB08A1" w:rsidRPr="009E4C23" w:rsidRDefault="00AB08A1" w:rsidP="0068369A">
      <w:pPr>
        <w:pStyle w:val="DefinedTermPara"/>
        <w:rPr>
          <w:b/>
        </w:rPr>
      </w:pPr>
      <w:bookmarkStart w:id="24" w:name="a638507"/>
      <w:r>
        <w:rPr>
          <w:rStyle w:val="DefTerm"/>
        </w:rPr>
        <w:t>Termination Date</w:t>
      </w:r>
      <w:r>
        <w:t>: the date of termination of this agreement, howsoever arising.</w:t>
      </w:r>
      <w:bookmarkEnd w:id="24"/>
    </w:p>
    <w:p w14:paraId="00204508" w14:textId="77777777" w:rsidR="00AB08A1" w:rsidRPr="004961F8" w:rsidRDefault="00AB08A1" w:rsidP="0068369A">
      <w:pPr>
        <w:pStyle w:val="DefinedTermPara"/>
        <w:rPr>
          <w:b/>
        </w:rPr>
      </w:pPr>
      <w:bookmarkStart w:id="25" w:name="a637270"/>
      <w:r>
        <w:rPr>
          <w:rStyle w:val="DefTerm"/>
        </w:rPr>
        <w:t>Works</w:t>
      </w:r>
      <w:r>
        <w:t xml:space="preserve">: all records, reports, documents, papers, drawings, designs, </w:t>
      </w:r>
      <w:r>
        <w:t>transparencies, photos, graphics, logos, typographical arrangements, software, and all other materials in whatever form, including but not limited to hard copy and electronic form, prepared by the Consultant in the provision of the Services.</w:t>
      </w:r>
      <w:bookmarkEnd w:id="25"/>
    </w:p>
    <w:p w14:paraId="00204509" w14:textId="77777777" w:rsidR="00AB08A1" w:rsidRDefault="00AB08A1" w:rsidP="0068369A">
      <w:pPr>
        <w:pStyle w:val="Untitledsubclause1"/>
      </w:pPr>
      <w:bookmarkStart w:id="26" w:name="a192801"/>
      <w:r>
        <w:t xml:space="preserve">A reference to </w:t>
      </w:r>
      <w:r>
        <w:rPr>
          <w:b/>
          <w:bCs/>
        </w:rPr>
        <w:t>writing</w:t>
      </w:r>
      <w:r>
        <w:t xml:space="preserve"> or </w:t>
      </w:r>
      <w:r>
        <w:rPr>
          <w:b/>
          <w:bCs/>
        </w:rPr>
        <w:t>written</w:t>
      </w:r>
      <w:r>
        <w:t xml:space="preserve"> excludes fax [and email </w:t>
      </w:r>
      <w:r>
        <w:rPr>
          <w:b/>
          <w:bCs/>
        </w:rPr>
        <w:t>OR</w:t>
      </w:r>
      <w:r>
        <w:t xml:space="preserve"> but not email].</w:t>
      </w:r>
      <w:bookmarkEnd w:id="26"/>
    </w:p>
    <w:p w14:paraId="0020450A" w14:textId="77777777" w:rsidR="00AB08A1" w:rsidRDefault="00AB08A1" w:rsidP="0068369A">
      <w:pPr>
        <w:pStyle w:val="Untitledsubclause1"/>
      </w:pPr>
      <w:bookmarkStart w:id="27" w:name="a476236"/>
      <w:r>
        <w:t>The headings in this agreement are inserted for convenience only and shall not affect its construction.</w:t>
      </w:r>
      <w:bookmarkEnd w:id="27"/>
    </w:p>
    <w:p w14:paraId="0020450B" w14:textId="77777777" w:rsidR="00AB08A1" w:rsidRDefault="00AB08A1" w:rsidP="0068369A">
      <w:pPr>
        <w:pStyle w:val="Untitledsubclause1"/>
      </w:pPr>
      <w:bookmarkStart w:id="28" w:name="a690778"/>
      <w:r>
        <w:t>A reference to a particular law is a reference to it as it is in force for the time being taking account of any amendment, extension, or re-enactment and includes any subordinate legislation for the time being in force made under it.</w:t>
      </w:r>
      <w:bookmarkEnd w:id="28"/>
    </w:p>
    <w:p w14:paraId="0020450C" w14:textId="77777777" w:rsidR="00AB08A1" w:rsidRDefault="00AB08A1" w:rsidP="0068369A">
      <w:pPr>
        <w:pStyle w:val="Untitledsubclause1"/>
      </w:pPr>
      <w:bookmarkStart w:id="29" w:name="a923693"/>
      <w:r>
        <w:t xml:space="preserve">Unless the context otherwise requires, words in the singular shall include the plural </w:t>
      </w:r>
      <w:proofErr w:type="gramStart"/>
      <w:r>
        <w:t>and in the plural</w:t>
      </w:r>
      <w:proofErr w:type="gramEnd"/>
      <w:r>
        <w:t xml:space="preserve"> shall include the singular.</w:t>
      </w:r>
      <w:bookmarkEnd w:id="29"/>
    </w:p>
    <w:p w14:paraId="0020450D" w14:textId="77777777" w:rsidR="00AB08A1" w:rsidRDefault="00AB08A1" w:rsidP="0068369A">
      <w:pPr>
        <w:pStyle w:val="Untitledsubclause1"/>
      </w:pPr>
      <w:bookmarkStart w:id="30" w:name="a413064"/>
      <w:r>
        <w:t>The Schedules form part of this agreement and shall have effect as if set out in full in the body of this agreement. Any reference to this agreement includes the Schedules.</w:t>
      </w:r>
      <w:bookmarkEnd w:id="30"/>
    </w:p>
    <w:p w14:paraId="0020450E" w14:textId="77777777" w:rsidR="00AB08A1" w:rsidRDefault="00AB08A1" w:rsidP="0068369A">
      <w:pPr>
        <w:pStyle w:val="Untitledsubclause1"/>
      </w:pPr>
      <w:r>
        <w:fldChar w:fldCharType="begin"/>
      </w:r>
      <w:r>
        <w:fldChar w:fldCharType="end"/>
      </w:r>
      <w:bookmarkStart w:id="31" w:name="a180657"/>
      <w:r>
        <w:t xml:space="preserve">[A reference to a </w:t>
      </w:r>
      <w:r>
        <w:rPr>
          <w:b/>
        </w:rPr>
        <w:t>holding company</w:t>
      </w:r>
      <w:r>
        <w:t xml:space="preserve"> or a </w:t>
      </w:r>
      <w:r>
        <w:rPr>
          <w:b/>
        </w:rPr>
        <w:t>subsidiary</w:t>
      </w:r>
      <w:r>
        <w:t xml:space="preserve"> means a holding company or a subsidiary (as the case may be) as defined in section 1159 of the Companies Act 2006 [and a company shall be treated, for the purposes only of the membership requirement contained in sections 1159(1)(b) and (c), as a member of another company even if its shares in that other company are registered in the name of (a) another person (or its </w:t>
      </w:r>
      <w:r>
        <w:lastRenderedPageBreak/>
        <w:t>nominee), whether by way of security or in connection with the taking of security, or (b) as</w:t>
      </w:r>
      <w:r>
        <w:t xml:space="preserve"> a nominee].]</w:t>
      </w:r>
      <w:bookmarkEnd w:id="31"/>
    </w:p>
    <w:p w14:paraId="0020450F" w14:textId="77777777" w:rsidR="00AB08A1" w:rsidRDefault="00AB08A1" w:rsidP="0068369A">
      <w:pPr>
        <w:pStyle w:val="TitleClause"/>
      </w:pPr>
      <w:r>
        <w:fldChar w:fldCharType="begin"/>
      </w:r>
      <w:r>
        <w:instrText>TC "2. Term of engagement" \l 1</w:instrText>
      </w:r>
      <w:r>
        <w:fldChar w:fldCharType="end"/>
      </w:r>
      <w:bookmarkStart w:id="32" w:name="_Toc256000001"/>
      <w:bookmarkStart w:id="33" w:name="a295569"/>
      <w:r>
        <w:t xml:space="preserve">Term of </w:t>
      </w:r>
      <w:r>
        <w:t>engagement</w:t>
      </w:r>
      <w:bookmarkEnd w:id="32"/>
      <w:bookmarkEnd w:id="33"/>
    </w:p>
    <w:p w14:paraId="00204510" w14:textId="77777777" w:rsidR="00AB08A1" w:rsidRDefault="00AB08A1" w:rsidP="0068369A">
      <w:pPr>
        <w:pStyle w:val="Untitledsubclause1"/>
      </w:pPr>
      <w:bookmarkStart w:id="34" w:name="a648053"/>
      <w:r>
        <w:t xml:space="preserve">The Client shall engage the </w:t>
      </w:r>
      <w:proofErr w:type="gramStart"/>
      <w:r>
        <w:t>Consultant</w:t>
      </w:r>
      <w:proofErr w:type="gramEnd"/>
      <w:r>
        <w:t xml:space="preserve"> and the Consultant shall provide the Services on the terms of this agreement.</w:t>
      </w:r>
      <w:bookmarkEnd w:id="34"/>
    </w:p>
    <w:p w14:paraId="00204511" w14:textId="77777777" w:rsidR="00AB08A1" w:rsidRDefault="00AB08A1" w:rsidP="0068369A">
      <w:pPr>
        <w:pStyle w:val="Untitledsubclause1"/>
      </w:pPr>
      <w:bookmarkStart w:id="35" w:name="a590601"/>
      <w:r>
        <w:t xml:space="preserve">The Engagement shall [start </w:t>
      </w:r>
      <w:r>
        <w:rPr>
          <w:b/>
        </w:rPr>
        <w:t>OR</w:t>
      </w:r>
      <w:r>
        <w:t xml:space="preserve"> be deemed to have started] on the Start Date and shall continue unless and until terminated:</w:t>
      </w:r>
      <w:bookmarkEnd w:id="35"/>
    </w:p>
    <w:p w14:paraId="00204512" w14:textId="77777777" w:rsidR="00AB08A1" w:rsidRDefault="00AB08A1" w:rsidP="0068369A">
      <w:pPr>
        <w:pStyle w:val="Untitledsubclause2"/>
      </w:pPr>
      <w:bookmarkStart w:id="36" w:name="a1028535"/>
      <w:r>
        <w:t>as provided by the terms of this agreement; or</w:t>
      </w:r>
      <w:bookmarkEnd w:id="36"/>
    </w:p>
    <w:p w14:paraId="00204513" w14:textId="77777777" w:rsidR="00AB08A1" w:rsidRDefault="00AB08A1" w:rsidP="0068369A">
      <w:pPr>
        <w:pStyle w:val="Untitledsubclause2"/>
      </w:pPr>
      <w:bookmarkStart w:id="37" w:name="a449153"/>
      <w:r>
        <w:t>by either party giving to the other not less than [NUMBER] weeks' prior written notice.</w:t>
      </w:r>
      <w:bookmarkEnd w:id="37"/>
    </w:p>
    <w:p w14:paraId="00204514" w14:textId="77777777" w:rsidR="00AB08A1" w:rsidRDefault="00AB08A1" w:rsidP="0068369A">
      <w:pPr>
        <w:pStyle w:val="TitleClause"/>
      </w:pPr>
      <w:r>
        <w:fldChar w:fldCharType="begin"/>
      </w:r>
      <w:r>
        <w:instrText>TC "3. Duties and obligations" \l 1</w:instrText>
      </w:r>
      <w:r>
        <w:fldChar w:fldCharType="end"/>
      </w:r>
      <w:bookmarkStart w:id="38" w:name="_Toc256000002"/>
      <w:bookmarkStart w:id="39" w:name="a921722"/>
      <w:r>
        <w:t>Duties and obligations</w:t>
      </w:r>
      <w:bookmarkEnd w:id="38"/>
      <w:bookmarkEnd w:id="39"/>
    </w:p>
    <w:p w14:paraId="00204515" w14:textId="77777777" w:rsidR="00AB08A1" w:rsidRDefault="00AB08A1" w:rsidP="0068369A">
      <w:pPr>
        <w:pStyle w:val="Untitledsubclause1"/>
      </w:pPr>
      <w:bookmarkStart w:id="40" w:name="a598953"/>
      <w:r>
        <w:t>During the Engagement the Consultant shall:</w:t>
      </w:r>
      <w:bookmarkEnd w:id="40"/>
    </w:p>
    <w:p w14:paraId="00204516" w14:textId="77777777" w:rsidR="00AB08A1" w:rsidRDefault="00AB08A1" w:rsidP="0068369A">
      <w:pPr>
        <w:pStyle w:val="Untitledsubclause2"/>
      </w:pPr>
      <w:bookmarkStart w:id="41" w:name="a524184"/>
      <w:r>
        <w:t xml:space="preserve">provide the Services </w:t>
      </w:r>
      <w:proofErr w:type="gramStart"/>
      <w:r>
        <w:t>[,including</w:t>
      </w:r>
      <w:proofErr w:type="gramEnd"/>
      <w:r>
        <w:t xml:space="preserve"> the Deliverables,] with all due care, skill and ability and use their best endeavours to promote the interests of the Client [or any Group Company</w:t>
      </w:r>
      <w:proofErr w:type="gramStart"/>
      <w:r>
        <w:t>];</w:t>
      </w:r>
      <w:bookmarkEnd w:id="41"/>
      <w:proofErr w:type="gramEnd"/>
    </w:p>
    <w:p w14:paraId="00204517" w14:textId="77777777" w:rsidR="00AB08A1" w:rsidRDefault="00AB08A1" w:rsidP="0068369A">
      <w:pPr>
        <w:pStyle w:val="Untitledsubclause2"/>
      </w:pPr>
      <w:bookmarkStart w:id="42" w:name="a748492"/>
      <w:r>
        <w:t xml:space="preserve">[unless prevented by ill health or accident, devote at least [NUMBER] [hours </w:t>
      </w:r>
      <w:r>
        <w:rPr>
          <w:b/>
        </w:rPr>
        <w:t xml:space="preserve">OR </w:t>
      </w:r>
      <w:r>
        <w:t>days] in each calendar month to the carrying out of the Services together with such additional time, if any, as may be necessary for their proper performance</w:t>
      </w:r>
      <w:r>
        <w:rPr>
          <w:rFonts w:asciiTheme="minorHAnsi" w:eastAsiaTheme="minorEastAsia" w:hAnsiTheme="minorHAnsi" w:cstheme="minorBidi"/>
          <w:b/>
          <w:bCs/>
          <w:szCs w:val="22"/>
          <w:lang w:eastAsia="en-GB"/>
        </w:rPr>
        <w:t xml:space="preserve"> </w:t>
      </w:r>
      <w:r>
        <w:rPr>
          <w:b/>
          <w:bCs/>
        </w:rPr>
        <w:t xml:space="preserve">OR </w:t>
      </w:r>
      <w:r>
        <w:t xml:space="preserve">ensure that the Deliverables conform in all respects with, and are achieved by any deadlines specified in, </w:t>
      </w:r>
      <w:r>
        <w:fldChar w:fldCharType="begin"/>
      </w:r>
      <w:r>
        <w:rPr>
          <w:highlight w:val="lightGray"/>
        </w:rPr>
        <w:instrText>REF a551048 \h \w</w:instrText>
      </w:r>
      <w:r>
        <w:fldChar w:fldCharType="separate"/>
      </w:r>
      <w:r>
        <w:t>Schedule 1</w:t>
      </w:r>
      <w:r>
        <w:fldChar w:fldCharType="end"/>
      </w:r>
      <w:r>
        <w:t xml:space="preserve"> and that the Deliverables shall be fit for any purpose expressly or implicitly made known to the Consultant by the Client]; and</w:t>
      </w:r>
      <w:r>
        <w:fldChar w:fldCharType="begin"/>
      </w:r>
      <w:r>
        <w:fldChar w:fldCharType="end"/>
      </w:r>
      <w:r>
        <w:t>]</w:t>
      </w:r>
      <w:bookmarkEnd w:id="42"/>
    </w:p>
    <w:p w14:paraId="00204518" w14:textId="77777777" w:rsidR="00AB08A1" w:rsidRDefault="00AB08A1" w:rsidP="0068369A">
      <w:pPr>
        <w:pStyle w:val="Untitledsubclause2"/>
      </w:pPr>
      <w:bookmarkStart w:id="43" w:name="a809989"/>
      <w:r>
        <w:t xml:space="preserve">promptly give to the Board all such information and reports as it may reasonably require in connection with matters relating to the provision of the Services </w:t>
      </w:r>
      <w:proofErr w:type="gramStart"/>
      <w:r>
        <w:t>[,including</w:t>
      </w:r>
      <w:proofErr w:type="gramEnd"/>
      <w:r>
        <w:t xml:space="preserve"> the Deliverables,] or the Business of the Client [or any Group Company].</w:t>
      </w:r>
      <w:bookmarkEnd w:id="43"/>
    </w:p>
    <w:p w14:paraId="00204519" w14:textId="77777777" w:rsidR="00AB08A1" w:rsidRDefault="00AB08A1" w:rsidP="0068369A">
      <w:pPr>
        <w:pStyle w:val="Untitledsubclause1"/>
      </w:pPr>
      <w:bookmarkStart w:id="44" w:name="a94340"/>
      <w:r>
        <w:t xml:space="preserve">[If the Consultant is unable to provide the Services due to illness or injury, they shall advise the Client of that fact as soon as reasonably practicable.] For the avoidance of doubt, no fee shall be payable in accordance with </w:t>
      </w:r>
      <w:r>
        <w:fldChar w:fldCharType="begin"/>
      </w:r>
      <w:r>
        <w:instrText>PAGEREF a839540\# "'clause '"  \h</w:instrText>
      </w:r>
      <w:r>
        <w:fldChar w:fldCharType="separate"/>
      </w:r>
      <w:r>
        <w:t xml:space="preserve">clause </w:t>
      </w:r>
      <w:r>
        <w:fldChar w:fldCharType="end"/>
      </w:r>
      <w:r>
        <w:fldChar w:fldCharType="begin"/>
      </w:r>
      <w:r>
        <w:rPr>
          <w:highlight w:val="lightGray"/>
        </w:rPr>
        <w:instrText>REF a839540 \h \w</w:instrText>
      </w:r>
      <w:r>
        <w:fldChar w:fldCharType="separate"/>
      </w:r>
      <w:r>
        <w:t>4</w:t>
      </w:r>
      <w:r>
        <w:fldChar w:fldCharType="end"/>
      </w:r>
      <w:r>
        <w:t xml:space="preserve"> in respect of any period during which the Services are not provided.</w:t>
      </w:r>
      <w:bookmarkEnd w:id="44"/>
    </w:p>
    <w:p w14:paraId="0020451A" w14:textId="77777777" w:rsidR="00AB08A1" w:rsidRDefault="00AB08A1" w:rsidP="0068369A">
      <w:pPr>
        <w:pStyle w:val="Untitledsubclause1"/>
      </w:pPr>
      <w:r>
        <w:fldChar w:fldCharType="begin"/>
      </w:r>
      <w:r>
        <w:fldChar w:fldCharType="end"/>
      </w:r>
      <w:bookmarkStart w:id="45" w:name="a506867"/>
      <w:r>
        <w:t xml:space="preserve">[The Consultant may, [with the prior written approval of the [Client </w:t>
      </w:r>
      <w:r>
        <w:rPr>
          <w:b/>
        </w:rPr>
        <w:t>OR</w:t>
      </w:r>
      <w:r>
        <w:t xml:space="preserve"> Board] and] subject to the following proviso, appoint a suitably qualified and skilled Substitute to perform the Services on their behalf, provided that the Substitute shall be required to </w:t>
      </w:r>
      <w:proofErr w:type="gramStart"/>
      <w:r>
        <w:t>enter into</w:t>
      </w:r>
      <w:proofErr w:type="gramEnd"/>
      <w:r>
        <w:t xml:space="preserve"> direct undertakings with the Client, including </w:t>
      </w:r>
      <w:proofErr w:type="gramStart"/>
      <w:r>
        <w:t>with regard to</w:t>
      </w:r>
      <w:proofErr w:type="gramEnd"/>
      <w:r>
        <w:t xml:space="preserve"> confidentiality. [If </w:t>
      </w:r>
      <w:r>
        <w:lastRenderedPageBreak/>
        <w:t xml:space="preserve">the Client accepts the Substitute,] [The </w:t>
      </w:r>
      <w:r>
        <w:rPr>
          <w:b/>
          <w:bCs/>
        </w:rPr>
        <w:t>OR</w:t>
      </w:r>
      <w:r>
        <w:t xml:space="preserve"> the] Consultant shall continue to invoice the Client in accordance with </w:t>
      </w:r>
      <w:r>
        <w:fldChar w:fldCharType="begin"/>
      </w:r>
      <w:r>
        <w:instrText>PAGEREF a839540\# "'clause '"  \h</w:instrText>
      </w:r>
      <w:r>
        <w:fldChar w:fldCharType="separate"/>
      </w:r>
      <w:r>
        <w:t xml:space="preserve">clause </w:t>
      </w:r>
      <w:r>
        <w:fldChar w:fldCharType="end"/>
      </w:r>
      <w:r>
        <w:fldChar w:fldCharType="begin"/>
      </w:r>
      <w:r>
        <w:rPr>
          <w:highlight w:val="lightGray"/>
        </w:rPr>
        <w:instrText>REF a839540 \h \w</w:instrText>
      </w:r>
      <w:r>
        <w:fldChar w:fldCharType="separate"/>
      </w:r>
      <w:r>
        <w:t>4</w:t>
      </w:r>
      <w:r>
        <w:fldChar w:fldCharType="end"/>
      </w:r>
      <w:r>
        <w:t xml:space="preserve"> and shall be responsible for the remuneration of the Substitute. For the avoidance of doubt, the Consultant will continue to be subject to all duties and obligations under this agreement for the duration of the appointment of the Substitute.]</w:t>
      </w:r>
      <w:bookmarkEnd w:id="45"/>
    </w:p>
    <w:p w14:paraId="0020451B" w14:textId="77777777" w:rsidR="00AB08A1" w:rsidRPr="008F04B6" w:rsidRDefault="00AB08A1" w:rsidP="0068369A">
      <w:pPr>
        <w:pStyle w:val="Untitledsubclause1"/>
      </w:pPr>
      <w:bookmarkStart w:id="46" w:name="a177122"/>
      <w:r>
        <w:t xml:space="preserve">[If a Substitute is appointed, the provisions relating to sub-processor obligations under </w:t>
      </w:r>
      <w:r>
        <w:fldChar w:fldCharType="begin"/>
      </w:r>
      <w:r>
        <w:instrText>PAGEREF a680194\# "'clause '"  \h</w:instrText>
      </w:r>
      <w:r>
        <w:fldChar w:fldCharType="separate"/>
      </w:r>
      <w:r>
        <w:t xml:space="preserve">clause </w:t>
      </w:r>
      <w:r>
        <w:fldChar w:fldCharType="end"/>
      </w:r>
      <w:r>
        <w:fldChar w:fldCharType="begin"/>
      </w:r>
      <w:r>
        <w:rPr>
          <w:highlight w:val="lightGray"/>
        </w:rPr>
        <w:instrText>REF a680194 \h \w</w:instrText>
      </w:r>
      <w:r>
        <w:fldChar w:fldCharType="separate"/>
      </w:r>
      <w:r>
        <w:t>8</w:t>
      </w:r>
      <w:r>
        <w:fldChar w:fldCharType="end"/>
      </w:r>
      <w:r>
        <w:t xml:space="preserve"> will apply.] </w:t>
      </w:r>
      <w:bookmarkEnd w:id="46"/>
    </w:p>
    <w:p w14:paraId="0020451C" w14:textId="77777777" w:rsidR="00AB08A1" w:rsidRDefault="00AB08A1" w:rsidP="0068369A">
      <w:pPr>
        <w:pStyle w:val="Untitledsubclause1"/>
      </w:pPr>
      <w:bookmarkStart w:id="47" w:name="a791971"/>
      <w:r>
        <w:t xml:space="preserve">The Consultant shall use reasonable endeavours to ensure that they </w:t>
      </w:r>
      <w:proofErr w:type="gramStart"/>
      <w:r>
        <w:t>are available at all times</w:t>
      </w:r>
      <w:proofErr w:type="gramEnd"/>
      <w:r>
        <w:t xml:space="preserve"> on reasonable notice to provide such assistance or information as the Client may require.</w:t>
      </w:r>
      <w:bookmarkEnd w:id="47"/>
    </w:p>
    <w:p w14:paraId="0020451D" w14:textId="77777777" w:rsidR="00AB08A1" w:rsidRDefault="00AB08A1" w:rsidP="0068369A">
      <w:pPr>
        <w:pStyle w:val="Untitledsubclause1"/>
      </w:pPr>
      <w:bookmarkStart w:id="48" w:name="a657858"/>
      <w:r>
        <w:t>Unless they have been specifically authorised to do so by the Client in writing, the Consultant shall not:</w:t>
      </w:r>
      <w:bookmarkEnd w:id="48"/>
    </w:p>
    <w:p w14:paraId="0020451E" w14:textId="77777777" w:rsidR="00AB08A1" w:rsidRDefault="00AB08A1" w:rsidP="0068369A">
      <w:pPr>
        <w:pStyle w:val="Untitledsubclause2"/>
      </w:pPr>
      <w:bookmarkStart w:id="49" w:name="a648174"/>
      <w:r>
        <w:t>have any authority to incur any expenditure in the name of or for the account of the Client; or</w:t>
      </w:r>
      <w:bookmarkEnd w:id="49"/>
    </w:p>
    <w:p w14:paraId="0020451F" w14:textId="77777777" w:rsidR="00AB08A1" w:rsidRDefault="00AB08A1" w:rsidP="0068369A">
      <w:pPr>
        <w:pStyle w:val="Untitledsubclause2"/>
      </w:pPr>
      <w:bookmarkStart w:id="50" w:name="a531392"/>
      <w:r>
        <w:t>hold themselves out as having authority to bind the Client.</w:t>
      </w:r>
      <w:bookmarkEnd w:id="50"/>
    </w:p>
    <w:p w14:paraId="00204520" w14:textId="77777777" w:rsidR="00AB08A1" w:rsidRDefault="00AB08A1" w:rsidP="0068369A">
      <w:pPr>
        <w:pStyle w:val="Untitledsubclause1"/>
      </w:pPr>
      <w:bookmarkStart w:id="51" w:name="a320693"/>
      <w:r>
        <w:t>The Consultant shall comply with all reasonable standards of safety and comply with the Client's health and safety procedures from time to time in force at the premises where the Services are provided and report to the Client any unsafe working conditions or practices.</w:t>
      </w:r>
      <w:bookmarkEnd w:id="51"/>
    </w:p>
    <w:p w14:paraId="00204521" w14:textId="77777777" w:rsidR="00AB08A1" w:rsidRDefault="00AB08A1" w:rsidP="0068369A">
      <w:pPr>
        <w:pStyle w:val="Untitledsubclause1"/>
      </w:pPr>
      <w:bookmarkStart w:id="52" w:name="a750833"/>
      <w:r>
        <w:t>The Consultant shall comply with the Client's policies on [social media] [use of information and communication systems] [anti-harassment and bullying] [equal opportunities] [no smoking] [substance misuse] [OTHER RELEVANT POLICY].</w:t>
      </w:r>
      <w:bookmarkEnd w:id="52"/>
    </w:p>
    <w:p w14:paraId="00204522" w14:textId="77777777" w:rsidR="00AB08A1" w:rsidRDefault="00AB08A1" w:rsidP="0068369A">
      <w:pPr>
        <w:pStyle w:val="Untitledsubclause1"/>
      </w:pPr>
      <w:bookmarkStart w:id="53" w:name="a340916"/>
      <w:r>
        <w:t xml:space="preserve">The Consultant undertakes to the Client that during the Engagement they shall take all reasonable steps to offer (or cause to be offered) to the Client any Business Opportunities as soon as practicable after the same shall have come to their knowledge and, in any event, before the same shall have been offered by the Consultant (or caused by the Consultant to be offered) to any other party [provided that nothing in this clause shall require the Consultant to disclose any Business Opportunities to the Client </w:t>
      </w:r>
      <w:r>
        <w:t xml:space="preserve">if to do so would result in a breach by the Consultant of any obligation of confidentiality or of any fiduciary duty owed by the Consultant to any third party]. </w:t>
      </w:r>
      <w:bookmarkEnd w:id="53"/>
    </w:p>
    <w:p w14:paraId="00204523" w14:textId="77777777" w:rsidR="00AB08A1" w:rsidRDefault="00AB08A1" w:rsidP="0068369A">
      <w:pPr>
        <w:pStyle w:val="Untitledsubclause1"/>
      </w:pPr>
      <w:bookmarkStart w:id="54" w:name="a356454"/>
      <w:r>
        <w:t xml:space="preserve">The Consultant may use a third party to perform any administrative, clerical or secretarial functions which are reasonably incidental to the provision of the Services provided that: </w:t>
      </w:r>
      <w:bookmarkEnd w:id="54"/>
    </w:p>
    <w:p w14:paraId="00204524" w14:textId="77777777" w:rsidR="00AB08A1" w:rsidRDefault="00AB08A1" w:rsidP="0068369A">
      <w:pPr>
        <w:pStyle w:val="Untitledsubclause2"/>
      </w:pPr>
      <w:bookmarkStart w:id="55" w:name="a112802"/>
      <w:r>
        <w:t>the Client will not be liable to bear the cost of such functions; and</w:t>
      </w:r>
      <w:bookmarkEnd w:id="55"/>
    </w:p>
    <w:p w14:paraId="00204525" w14:textId="77777777" w:rsidR="00AB08A1" w:rsidRDefault="00AB08A1" w:rsidP="0068369A">
      <w:pPr>
        <w:pStyle w:val="Untitledsubclause2"/>
      </w:pPr>
      <w:bookmarkStart w:id="56" w:name="a887256"/>
      <w:r>
        <w:lastRenderedPageBreak/>
        <w:t xml:space="preserve">at the Client's request the third party shall be required to </w:t>
      </w:r>
      <w:proofErr w:type="gramStart"/>
      <w:r>
        <w:t>enter into</w:t>
      </w:r>
      <w:proofErr w:type="gramEnd"/>
      <w:r>
        <w:t xml:space="preserve"> direct undertakings with the Client, including </w:t>
      </w:r>
      <w:proofErr w:type="gramStart"/>
      <w:r>
        <w:t>with regard to</w:t>
      </w:r>
      <w:proofErr w:type="gramEnd"/>
      <w:r>
        <w:t xml:space="preserve"> confidentiality.</w:t>
      </w:r>
      <w:bookmarkEnd w:id="56"/>
    </w:p>
    <w:p w14:paraId="00204526" w14:textId="77777777" w:rsidR="00AB08A1" w:rsidRDefault="00AB08A1" w:rsidP="0068369A">
      <w:pPr>
        <w:pStyle w:val="Untitledsubclause1"/>
      </w:pPr>
      <w:bookmarkStart w:id="57" w:name="a140853"/>
      <w:r>
        <w:t>The Consultant shall:</w:t>
      </w:r>
      <w:bookmarkEnd w:id="57"/>
    </w:p>
    <w:p w14:paraId="00204527" w14:textId="77777777" w:rsidR="00AB08A1" w:rsidRDefault="00AB08A1" w:rsidP="0068369A">
      <w:pPr>
        <w:pStyle w:val="Untitledsubclause2"/>
      </w:pPr>
      <w:bookmarkStart w:id="58" w:name="a851869"/>
      <w:r>
        <w:t xml:space="preserve">comply with all applicable laws, </w:t>
      </w:r>
      <w:proofErr w:type="gramStart"/>
      <w:r>
        <w:t>regulations[</w:t>
      </w:r>
      <w:proofErr w:type="gramEnd"/>
      <w:r>
        <w:t>, codes] and sanctions relating to anti-bribery and anti-corruption including but not limited to the Bribery Act 2010 (</w:t>
      </w:r>
      <w:r>
        <w:rPr>
          <w:rStyle w:val="DefTerm"/>
        </w:rPr>
        <w:t>Relevant Requirements</w:t>
      </w:r>
      <w:proofErr w:type="gramStart"/>
      <w:r>
        <w:t>);</w:t>
      </w:r>
      <w:bookmarkEnd w:id="58"/>
      <w:proofErr w:type="gramEnd"/>
    </w:p>
    <w:p w14:paraId="00204528" w14:textId="77777777" w:rsidR="00AB08A1" w:rsidRDefault="00AB08A1" w:rsidP="0068369A">
      <w:pPr>
        <w:pStyle w:val="Untitledsubclause2"/>
      </w:pPr>
      <w:bookmarkStart w:id="59" w:name="a322162"/>
      <w:r>
        <w:t>[not engage in any activity, practice or conduct which would constitute an offence under sections 1, 2 or 6 of the Bribery Act 2010 if such activity, practice or conduct had been carried out in the UK;</w:t>
      </w:r>
      <w:r>
        <w:fldChar w:fldCharType="begin"/>
      </w:r>
      <w:r>
        <w:fldChar w:fldCharType="end"/>
      </w:r>
      <w:r>
        <w:t>]</w:t>
      </w:r>
      <w:bookmarkEnd w:id="59"/>
    </w:p>
    <w:p w14:paraId="00204529" w14:textId="77777777" w:rsidR="00AB08A1" w:rsidRDefault="00AB08A1" w:rsidP="0068369A">
      <w:pPr>
        <w:pStyle w:val="Untitledsubclause2"/>
      </w:pPr>
      <w:bookmarkStart w:id="60" w:name="a613366"/>
      <w:r>
        <w:t>comply with the Client's [ethics and] anti-bribery and anti-corruption policies [(annexed to this agreement at Schedule [NUMBER])] [and] [RELEVANT INDUSTRY CODE OR SECTOR SPECIFIC GUIDANCE ON ANTI-BRIBERY AND ANTI-CORRUPTION] [annexed to this agreement at Schedule [NUMBER]], in each case as may be updated from time to time (</w:t>
      </w:r>
      <w:r>
        <w:rPr>
          <w:rStyle w:val="DefTerm"/>
        </w:rPr>
        <w:t>Relevant Policies</w:t>
      </w:r>
      <w:proofErr w:type="gramStart"/>
      <w:r>
        <w:t>);</w:t>
      </w:r>
      <w:bookmarkEnd w:id="60"/>
      <w:proofErr w:type="gramEnd"/>
    </w:p>
    <w:p w14:paraId="0020452A" w14:textId="77777777" w:rsidR="00AB08A1" w:rsidRDefault="00AB08A1" w:rsidP="0068369A">
      <w:pPr>
        <w:pStyle w:val="Untitledsubclause2"/>
      </w:pPr>
      <w:bookmarkStart w:id="61" w:name="a554944"/>
      <w:r>
        <w:t xml:space="preserve">promptly report to the Client (in writing) any request or demand for any undue financial or other advantage of any kind received by the Consultant in connection with the performance of this </w:t>
      </w:r>
      <w:proofErr w:type="gramStart"/>
      <w:r>
        <w:t>agreement;</w:t>
      </w:r>
      <w:bookmarkEnd w:id="61"/>
      <w:proofErr w:type="gramEnd"/>
    </w:p>
    <w:p w14:paraId="0020452B" w14:textId="77777777" w:rsidR="00AB08A1" w:rsidRDefault="00AB08A1" w:rsidP="0068369A">
      <w:pPr>
        <w:pStyle w:val="Untitledsubclause2"/>
      </w:pPr>
      <w:bookmarkStart w:id="62" w:name="a107959"/>
      <w:r>
        <w:t xml:space="preserve">ensure that all persons associated with the Consultant or other persons who are performing services [or providing goods] in connection with this agreement comply with this </w:t>
      </w:r>
      <w:r>
        <w:fldChar w:fldCharType="begin"/>
      </w:r>
      <w:r>
        <w:instrText>PAGEREF a140853\# "'clause '"  \h</w:instrText>
      </w:r>
      <w:r>
        <w:fldChar w:fldCharType="separate"/>
      </w:r>
      <w:r>
        <w:t xml:space="preserve">clause </w:t>
      </w:r>
      <w:r>
        <w:fldChar w:fldCharType="end"/>
      </w:r>
      <w:r>
        <w:fldChar w:fldCharType="begin"/>
      </w:r>
      <w:r>
        <w:rPr>
          <w:highlight w:val="lightGray"/>
        </w:rPr>
        <w:instrText>REF a140853 \h \w</w:instrText>
      </w:r>
      <w:r>
        <w:fldChar w:fldCharType="separate"/>
      </w:r>
      <w:r>
        <w:t>3.11</w:t>
      </w:r>
      <w:r>
        <w:fldChar w:fldCharType="end"/>
      </w:r>
      <w:r>
        <w:t xml:space="preserve">; </w:t>
      </w:r>
      <w:bookmarkEnd w:id="62"/>
    </w:p>
    <w:p w14:paraId="0020452C" w14:textId="77777777" w:rsidR="00AB08A1" w:rsidRDefault="00AB08A1" w:rsidP="0068369A">
      <w:pPr>
        <w:pStyle w:val="Untitledsubclause2"/>
      </w:pPr>
      <w:bookmarkStart w:id="63" w:name="a877257"/>
      <w:r>
        <w:t xml:space="preserve">if requested, co-operate with and provide reasonable assistance to the Client, at the Client's [reasonable] cost, to enable the Client to </w:t>
      </w:r>
      <w:r>
        <w:t>investigate, or respond to any requests from a relevant government department or agency to investigate, an alleged offence under the Bribery Act 2010; and</w:t>
      </w:r>
      <w:bookmarkEnd w:id="63"/>
    </w:p>
    <w:p w14:paraId="0020452D" w14:textId="77777777" w:rsidR="00AB08A1" w:rsidRDefault="00AB08A1" w:rsidP="0068369A">
      <w:pPr>
        <w:pStyle w:val="Untitledsubclause2"/>
      </w:pPr>
      <w:bookmarkStart w:id="64" w:name="a858078"/>
      <w:r>
        <w:t xml:space="preserve">within [NUMBER] months of the date of this agreement, and annually thereafter, certify to the Client in writing compliance with this </w:t>
      </w:r>
      <w:r>
        <w:fldChar w:fldCharType="begin"/>
      </w:r>
      <w:r>
        <w:instrText>PAGEREF a140853\# "'clause '"  \h</w:instrText>
      </w:r>
      <w:r>
        <w:fldChar w:fldCharType="separate"/>
      </w:r>
      <w:r>
        <w:t xml:space="preserve">clause </w:t>
      </w:r>
      <w:r>
        <w:fldChar w:fldCharType="end"/>
      </w:r>
      <w:r>
        <w:fldChar w:fldCharType="begin"/>
      </w:r>
      <w:r>
        <w:rPr>
          <w:highlight w:val="lightGray"/>
        </w:rPr>
        <w:instrText>REF a140853 \h \w</w:instrText>
      </w:r>
      <w:r>
        <w:fldChar w:fldCharType="separate"/>
      </w:r>
      <w:r>
        <w:t>3.11</w:t>
      </w:r>
      <w:r>
        <w:fldChar w:fldCharType="end"/>
      </w:r>
      <w:r>
        <w:t xml:space="preserve"> by the Consultant and all persons associated with the Consultant or other persons who are performing services [or providing goods] in connection with this agreement. The Consultant shall provide such supporting evidence of compliance as the Client may reasonably request.</w:t>
      </w:r>
      <w:bookmarkEnd w:id="64"/>
    </w:p>
    <w:p w14:paraId="0020452E" w14:textId="77777777" w:rsidR="00AB08A1" w:rsidRDefault="00AB08A1" w:rsidP="0068369A">
      <w:pPr>
        <w:pStyle w:val="Untitledsubclause1"/>
      </w:pPr>
      <w:bookmarkStart w:id="65" w:name="a257477"/>
      <w:r>
        <w:t>The Consultant shall:</w:t>
      </w:r>
      <w:bookmarkEnd w:id="65"/>
    </w:p>
    <w:p w14:paraId="0020452F" w14:textId="77777777" w:rsidR="00AB08A1" w:rsidRDefault="00AB08A1" w:rsidP="0068369A">
      <w:pPr>
        <w:pStyle w:val="Untitledsubclause2"/>
      </w:pPr>
      <w:bookmarkStart w:id="66" w:name="a424751"/>
      <w:r>
        <w:t>not engage in any activity, practice or conduct which would constitute either:</w:t>
      </w:r>
      <w:bookmarkEnd w:id="66"/>
    </w:p>
    <w:p w14:paraId="00204530" w14:textId="77777777" w:rsidR="00AB08A1" w:rsidRDefault="00AB08A1" w:rsidP="0068369A">
      <w:pPr>
        <w:pStyle w:val="Untitledsubclause3"/>
      </w:pPr>
      <w:bookmarkStart w:id="67" w:name="a306677"/>
      <w:r>
        <w:t>a UK tax evasion facilitation offence under section 45(1) of the Criminal Finances Act 2017; or</w:t>
      </w:r>
      <w:bookmarkEnd w:id="67"/>
    </w:p>
    <w:p w14:paraId="00204531" w14:textId="77777777" w:rsidR="00AB08A1" w:rsidRDefault="00AB08A1" w:rsidP="0068369A">
      <w:pPr>
        <w:pStyle w:val="Untitledsubclause3"/>
      </w:pPr>
      <w:bookmarkStart w:id="68" w:name="a868135"/>
      <w:r>
        <w:t xml:space="preserve">a foreign tax evasion facilitation offence under section 46(1) of the Criminal Finances Act </w:t>
      </w:r>
      <w:proofErr w:type="gramStart"/>
      <w:r>
        <w:t>2017;</w:t>
      </w:r>
      <w:bookmarkEnd w:id="68"/>
      <w:proofErr w:type="gramEnd"/>
    </w:p>
    <w:p w14:paraId="00204532" w14:textId="77777777" w:rsidR="00AB08A1" w:rsidRPr="00F87355" w:rsidRDefault="00AB08A1" w:rsidP="0068369A">
      <w:pPr>
        <w:pStyle w:val="Untitledsubclause2"/>
      </w:pPr>
      <w:bookmarkStart w:id="69" w:name="a605480"/>
      <w:r>
        <w:lastRenderedPageBreak/>
        <w:t xml:space="preserve">comply with the Client's [anti-facilitation of tax evasion policy </w:t>
      </w:r>
      <w:r>
        <w:rPr>
          <w:b/>
        </w:rPr>
        <w:t>OR</w:t>
      </w:r>
      <w:r>
        <w:t xml:space="preserve"> anti-bribery and anti-corruption policies] [annexed to this agreement at Schedule [NUMBER]] [and] [RELEVANT INDUSTRY CODE OR SECTOR SPECIFIC GUIDANCE ON ANTI-FACILITATION OF TAX EVASION] [annexed to this agreement at Schedule [NUMBER]], [in each case] as may be updated from time to </w:t>
      </w:r>
      <w:proofErr w:type="gramStart"/>
      <w:r>
        <w:t>time;</w:t>
      </w:r>
      <w:bookmarkEnd w:id="69"/>
      <w:proofErr w:type="gramEnd"/>
    </w:p>
    <w:p w14:paraId="00204533" w14:textId="77777777" w:rsidR="00AB08A1" w:rsidRDefault="00AB08A1" w:rsidP="0068369A">
      <w:pPr>
        <w:pStyle w:val="Untitledsubclause2"/>
      </w:pPr>
      <w:bookmarkStart w:id="70" w:name="a872249"/>
      <w:r>
        <w:t xml:space="preserve">promptly report to the Client (in writing) any request or demand from a third party to facilitate the evasion of tax within the meaning of Part 3 of the Criminal Finances Act 2017 or any suspected tax evasion offences or facilitation of tax evasion offences, whether under UK law or under the law of any foreign country, in connection with the performance of this </w:t>
      </w:r>
      <w:proofErr w:type="gramStart"/>
      <w:r>
        <w:t>agreement;</w:t>
      </w:r>
      <w:bookmarkEnd w:id="70"/>
      <w:proofErr w:type="gramEnd"/>
    </w:p>
    <w:p w14:paraId="00204534" w14:textId="77777777" w:rsidR="00AB08A1" w:rsidRDefault="00AB08A1" w:rsidP="0068369A">
      <w:pPr>
        <w:pStyle w:val="Untitledsubclause2"/>
      </w:pPr>
      <w:bookmarkStart w:id="71" w:name="a727294"/>
      <w:r>
        <w:t xml:space="preserve">ensure that all persons associated with the Consultant or other persons who are performing services [or providing goods] in connection with this agreement comply with this </w:t>
      </w:r>
      <w:r>
        <w:fldChar w:fldCharType="begin"/>
      </w:r>
      <w:r>
        <w:instrText>PAGEREF a257477\# "'clause '"  \h</w:instrText>
      </w:r>
      <w:r>
        <w:fldChar w:fldCharType="separate"/>
      </w:r>
      <w:r>
        <w:t xml:space="preserve">clause </w:t>
      </w:r>
      <w:r>
        <w:fldChar w:fldCharType="end"/>
      </w:r>
      <w:r>
        <w:fldChar w:fldCharType="begin"/>
      </w:r>
      <w:r>
        <w:rPr>
          <w:highlight w:val="lightGray"/>
        </w:rPr>
        <w:instrText>REF a257477 \h \w</w:instrText>
      </w:r>
      <w:r>
        <w:fldChar w:fldCharType="separate"/>
      </w:r>
      <w:r>
        <w:t>3.12</w:t>
      </w:r>
      <w:r>
        <w:fldChar w:fldCharType="end"/>
      </w:r>
      <w:r>
        <w:t xml:space="preserve">; </w:t>
      </w:r>
      <w:bookmarkEnd w:id="71"/>
    </w:p>
    <w:p w14:paraId="00204535" w14:textId="77777777" w:rsidR="00AB08A1" w:rsidRDefault="00AB08A1" w:rsidP="0068369A">
      <w:pPr>
        <w:pStyle w:val="Untitledsubclause2"/>
      </w:pPr>
      <w:bookmarkStart w:id="72" w:name="a329703"/>
      <w:r>
        <w:t>if requested, co-operate with and provide reasonable assistance to the Client, at the Client's [reasonable] cost, to enable the Client to investigate, or respond to any requests from a relevant government department or agency to investigate, an alleged offence under sections 45(1) or 46(1) of the Criminal Finances Act 2017; and</w:t>
      </w:r>
      <w:bookmarkEnd w:id="72"/>
    </w:p>
    <w:p w14:paraId="00204536" w14:textId="77777777" w:rsidR="00AB08A1" w:rsidRDefault="00AB08A1" w:rsidP="0068369A">
      <w:pPr>
        <w:pStyle w:val="Untitledsubclause2"/>
      </w:pPr>
      <w:bookmarkStart w:id="73" w:name="a835869"/>
      <w:r>
        <w:t xml:space="preserve">within [NUMBER] months of the date of this agreement, and annually thereafter, certify to the Client in writing compliance with this </w:t>
      </w:r>
      <w:r>
        <w:fldChar w:fldCharType="begin"/>
      </w:r>
      <w:r>
        <w:instrText>PAGEREF a257477\# "'clause '"  \h</w:instrText>
      </w:r>
      <w:r>
        <w:fldChar w:fldCharType="separate"/>
      </w:r>
      <w:r>
        <w:t xml:space="preserve">clause </w:t>
      </w:r>
      <w:r>
        <w:fldChar w:fldCharType="end"/>
      </w:r>
      <w:r>
        <w:fldChar w:fldCharType="begin"/>
      </w:r>
      <w:r>
        <w:rPr>
          <w:highlight w:val="lightGray"/>
        </w:rPr>
        <w:instrText>REF a257477 \h \w</w:instrText>
      </w:r>
      <w:r>
        <w:fldChar w:fldCharType="separate"/>
      </w:r>
      <w:r>
        <w:t>3.12</w:t>
      </w:r>
      <w:r>
        <w:fldChar w:fldCharType="end"/>
      </w:r>
      <w:r>
        <w:t xml:space="preserve"> by the Consultant and all persons associated with the Consultant or other persons who are performing services [or providing goods] in connection with this agreement. The Consultant shall provide such supporting evidence of compliance as the Client may reasonably request.</w:t>
      </w:r>
      <w:bookmarkEnd w:id="73"/>
    </w:p>
    <w:p w14:paraId="00204537" w14:textId="77777777" w:rsidR="00AB08A1" w:rsidRDefault="00AB08A1" w:rsidP="0068369A">
      <w:pPr>
        <w:pStyle w:val="Untitledsubclause1"/>
      </w:pPr>
      <w:bookmarkStart w:id="74" w:name="a771311"/>
      <w:r>
        <w:t>The Consultant shall:</w:t>
      </w:r>
      <w:bookmarkEnd w:id="74"/>
    </w:p>
    <w:p w14:paraId="00204538" w14:textId="77777777" w:rsidR="00AB08A1" w:rsidRDefault="00AB08A1" w:rsidP="0068369A">
      <w:pPr>
        <w:pStyle w:val="Untitledsubclause2"/>
      </w:pPr>
      <w:bookmarkStart w:id="75" w:name="a153021"/>
      <w:r>
        <w:t xml:space="preserve">not engage in any activity, practice or conduct which would constitute fraud, including but not limited to a fraud offence under section 199(6) of the Economic Crime and Corporate Transparency Act </w:t>
      </w:r>
      <w:proofErr w:type="gramStart"/>
      <w:r>
        <w:t>2023;</w:t>
      </w:r>
      <w:proofErr w:type="gramEnd"/>
      <w:r>
        <w:t xml:space="preserve"> </w:t>
      </w:r>
      <w:bookmarkEnd w:id="75"/>
    </w:p>
    <w:p w14:paraId="00204539" w14:textId="77777777" w:rsidR="00AB08A1" w:rsidRDefault="00AB08A1" w:rsidP="0068369A">
      <w:pPr>
        <w:pStyle w:val="Untitledsubclause2"/>
      </w:pPr>
      <w:bookmarkStart w:id="76" w:name="a640649"/>
      <w:r>
        <w:t xml:space="preserve">comply with the Client's [ethics, anti-bribery and anti-corruption policies </w:t>
      </w:r>
      <w:r>
        <w:rPr>
          <w:b/>
          <w:bCs/>
        </w:rPr>
        <w:t xml:space="preserve">OR </w:t>
      </w:r>
      <w:r>
        <w:t xml:space="preserve">anti-fraud policy] [annexed to this agreement at Schedule [NUMBER]] [and] [RELEVANT INDUSTRY CODE OR SECTOR SPECIFIC GUIDANCE ON FRAUD] [annexed to this agreement at Schedule [NUMBER]], [in each case] as may be updated from time to </w:t>
      </w:r>
      <w:proofErr w:type="gramStart"/>
      <w:r>
        <w:t>time;</w:t>
      </w:r>
      <w:bookmarkEnd w:id="76"/>
      <w:proofErr w:type="gramEnd"/>
    </w:p>
    <w:p w14:paraId="0020453A" w14:textId="77777777" w:rsidR="00AB08A1" w:rsidRDefault="00AB08A1" w:rsidP="0068369A">
      <w:pPr>
        <w:pStyle w:val="Untitledsubclause2"/>
      </w:pPr>
      <w:bookmarkStart w:id="77" w:name="a486980"/>
      <w:r>
        <w:t xml:space="preserve">promptly report to the Client (in writing) if they become aware of any suspected or actual breach of </w:t>
      </w:r>
      <w:r>
        <w:fldChar w:fldCharType="begin"/>
      </w:r>
      <w:r>
        <w:instrText>PAGEREF a153021\# "'clause '"  \h</w:instrText>
      </w:r>
      <w:r>
        <w:fldChar w:fldCharType="separate"/>
      </w:r>
      <w:r>
        <w:t xml:space="preserve">clause </w:t>
      </w:r>
      <w:r>
        <w:fldChar w:fldCharType="end"/>
      </w:r>
      <w:r>
        <w:fldChar w:fldCharType="begin"/>
      </w:r>
      <w:r>
        <w:rPr>
          <w:highlight w:val="lightGray"/>
        </w:rPr>
        <w:instrText>REF a153021 \h \w</w:instrText>
      </w:r>
      <w:r>
        <w:fldChar w:fldCharType="separate"/>
      </w:r>
      <w:r>
        <w:t>3.13(a)</w:t>
      </w:r>
      <w:r>
        <w:fldChar w:fldCharType="end"/>
      </w:r>
      <w:r>
        <w:t>, or have reason to believe that they have received a request or demand to commit a fraud offence within the meaning of section 199(6) of the Economic Crime and Corporate Transparency Act 2023, in connection with the performance of this agreement;</w:t>
      </w:r>
      <w:bookmarkEnd w:id="77"/>
    </w:p>
    <w:p w14:paraId="0020453B" w14:textId="77777777" w:rsidR="00AB08A1" w:rsidRDefault="00AB08A1" w:rsidP="0068369A">
      <w:pPr>
        <w:pStyle w:val="Untitledsubclause2"/>
      </w:pPr>
      <w:bookmarkStart w:id="78" w:name="a875901"/>
      <w:r>
        <w:lastRenderedPageBreak/>
        <w:t xml:space="preserve">ensure that all persons associated with the Consultant or other persons who are performing services [or providing goods] in connection with this agreement comply with this </w:t>
      </w:r>
      <w:r>
        <w:fldChar w:fldCharType="begin"/>
      </w:r>
      <w:r>
        <w:instrText>PAGEREF a771311\# "'clause '"  \h</w:instrText>
      </w:r>
      <w:r>
        <w:fldChar w:fldCharType="separate"/>
      </w:r>
      <w:r>
        <w:t xml:space="preserve">clause </w:t>
      </w:r>
      <w:r>
        <w:fldChar w:fldCharType="end"/>
      </w:r>
      <w:r>
        <w:fldChar w:fldCharType="begin"/>
      </w:r>
      <w:r>
        <w:rPr>
          <w:highlight w:val="lightGray"/>
        </w:rPr>
        <w:instrText>REF a771311 \h \w</w:instrText>
      </w:r>
      <w:r>
        <w:fldChar w:fldCharType="separate"/>
      </w:r>
      <w:r>
        <w:t>3.13</w:t>
      </w:r>
      <w:r>
        <w:fldChar w:fldCharType="end"/>
      </w:r>
      <w:r>
        <w:t xml:space="preserve">; </w:t>
      </w:r>
      <w:bookmarkEnd w:id="78"/>
    </w:p>
    <w:p w14:paraId="0020453C" w14:textId="77777777" w:rsidR="00AB08A1" w:rsidRDefault="00AB08A1" w:rsidP="0068369A">
      <w:pPr>
        <w:pStyle w:val="Untitledsubclause2"/>
      </w:pPr>
      <w:bookmarkStart w:id="79" w:name="a420844"/>
      <w:r>
        <w:t>if requested, co-operate with and provide reasonable assistance to the Client, at the Client's [reasonable] cost, to enable the Client to investigate, or respond to any requests from a relevant government department or agency to investigate, an alleged offence under section 199 of the Economic Crime and Corporate Transparency Act 2023; and</w:t>
      </w:r>
      <w:bookmarkEnd w:id="79"/>
    </w:p>
    <w:p w14:paraId="0020453D" w14:textId="77777777" w:rsidR="00AB08A1" w:rsidRDefault="00AB08A1" w:rsidP="0068369A">
      <w:pPr>
        <w:pStyle w:val="Untitledsubclause2"/>
      </w:pPr>
      <w:bookmarkStart w:id="80" w:name="a537092"/>
      <w:r>
        <w:t xml:space="preserve">within [NUMBER] months of the date of this agreement, and annually thereafter, certify to the Client in writing compliance with this </w:t>
      </w:r>
      <w:r>
        <w:fldChar w:fldCharType="begin"/>
      </w:r>
      <w:r>
        <w:instrText>PAGEREF a771311\# "'clause '"  \h</w:instrText>
      </w:r>
      <w:r>
        <w:fldChar w:fldCharType="separate"/>
      </w:r>
      <w:r>
        <w:t xml:space="preserve">clause </w:t>
      </w:r>
      <w:r>
        <w:fldChar w:fldCharType="end"/>
      </w:r>
      <w:r>
        <w:fldChar w:fldCharType="begin"/>
      </w:r>
      <w:r>
        <w:rPr>
          <w:highlight w:val="lightGray"/>
        </w:rPr>
        <w:instrText>REF a771311 \h \w</w:instrText>
      </w:r>
      <w:r>
        <w:fldChar w:fldCharType="separate"/>
      </w:r>
      <w:r>
        <w:t>3.13</w:t>
      </w:r>
      <w:r>
        <w:fldChar w:fldCharType="end"/>
      </w:r>
      <w:r>
        <w:t xml:space="preserve"> by the Consultant and all persons associated with the Consultant or other persons who are performing services [or providing goods] in connection with this agreement. The Consultant shall provide such supporting evidence of compliance as the Client may reasonably request.</w:t>
      </w:r>
      <w:bookmarkEnd w:id="80"/>
    </w:p>
    <w:p w14:paraId="0020453E" w14:textId="77777777" w:rsidR="00AB08A1" w:rsidRDefault="00AB08A1" w:rsidP="0068369A">
      <w:pPr>
        <w:pStyle w:val="TitleClause"/>
      </w:pPr>
      <w:r>
        <w:fldChar w:fldCharType="begin"/>
      </w:r>
      <w:r>
        <w:instrText>TC "4. Fees" \l 1</w:instrText>
      </w:r>
      <w:r>
        <w:fldChar w:fldCharType="end"/>
      </w:r>
      <w:bookmarkStart w:id="81" w:name="_Toc256000003"/>
      <w:bookmarkStart w:id="82" w:name="a839540"/>
      <w:r>
        <w:t>Fees</w:t>
      </w:r>
      <w:bookmarkEnd w:id="81"/>
      <w:bookmarkEnd w:id="82"/>
    </w:p>
    <w:p w14:paraId="0020453F" w14:textId="77777777" w:rsidR="00AB08A1" w:rsidRDefault="00AB08A1" w:rsidP="0068369A">
      <w:pPr>
        <w:pStyle w:val="Untitledsubclause1"/>
      </w:pPr>
      <w:bookmarkStart w:id="83" w:name="a675508"/>
      <w:r>
        <w:t xml:space="preserve">[The Client shall pay the Consultant a fee of £[AMOUNT] per [hour </w:t>
      </w:r>
      <w:r>
        <w:rPr>
          <w:b/>
        </w:rPr>
        <w:t>OR</w:t>
      </w:r>
      <w:r>
        <w:t xml:space="preserve"> day] [exclusive </w:t>
      </w:r>
      <w:r>
        <w:rPr>
          <w:b/>
        </w:rPr>
        <w:t>OR</w:t>
      </w:r>
      <w:r>
        <w:t xml:space="preserve"> inclusive] of VAT. On the last working day of each month during the Engagement, the Consultant shall submit to the Client an invoice which gives details of the [hours </w:t>
      </w:r>
      <w:r>
        <w:rPr>
          <w:b/>
        </w:rPr>
        <w:t xml:space="preserve">OR </w:t>
      </w:r>
      <w:r>
        <w:t>days] the Consultant [or any Substitute] has worked during the month, the Services provided and the amount of the fee payable (plus VAT, if applicable) for the Services during that month.</w:t>
      </w:r>
      <w:bookmarkEnd w:id="83"/>
    </w:p>
    <w:p w14:paraId="00204540" w14:textId="77777777" w:rsidR="00AB08A1" w:rsidRPr="006B4BF9" w:rsidRDefault="00AB08A1" w:rsidP="0068369A">
      <w:pPr>
        <w:pStyle w:val="Parasubclause1"/>
        <w:rPr>
          <w:b/>
          <w:bCs/>
        </w:rPr>
      </w:pPr>
      <w:r>
        <w:rPr>
          <w:b/>
          <w:bCs/>
        </w:rPr>
        <w:t>OR</w:t>
      </w:r>
    </w:p>
    <w:p w14:paraId="00204541" w14:textId="77777777" w:rsidR="00AB08A1" w:rsidRDefault="00AB08A1" w:rsidP="0068369A">
      <w:pPr>
        <w:pStyle w:val="Parasubclause1"/>
      </w:pPr>
      <w:r>
        <w:t xml:space="preserve">The Client shall pay the Consultant the fees set out below [exclusive </w:t>
      </w:r>
      <w:r>
        <w:rPr>
          <w:b/>
          <w:bCs/>
        </w:rPr>
        <w:t>OR</w:t>
      </w:r>
      <w:r>
        <w:t xml:space="preserve"> inclusive] of VAT following the receipt of appropriate invoices from the Consultant, in each case giving details of the Services provided, the Deliverable achieved to the satisfaction of the Client in accordance with Schedule 1, the dates on which the Services were provided and the amount of the fee payable (plus VAT, if applicable) for the achievement of the Deliverable:</w:t>
      </w:r>
    </w:p>
    <w:p w14:paraId="00204542" w14:textId="77777777" w:rsidR="00AB08A1" w:rsidRDefault="00AB08A1" w:rsidP="0068369A">
      <w:pPr>
        <w:pStyle w:val="Untitledsubclause2"/>
      </w:pPr>
      <w:bookmarkStart w:id="84" w:name="a938824"/>
      <w:r>
        <w:t xml:space="preserve">[DETAILS OF DELIVERABLE ONE]: </w:t>
      </w:r>
      <w:proofErr w:type="gramStart"/>
      <w:r>
        <w:t>£[</w:t>
      </w:r>
      <w:proofErr w:type="gramEnd"/>
      <w:r>
        <w:t>FEE PAYABLE].</w:t>
      </w:r>
      <w:bookmarkEnd w:id="84"/>
    </w:p>
    <w:p w14:paraId="00204543" w14:textId="77777777" w:rsidR="00AB08A1" w:rsidRDefault="00AB08A1" w:rsidP="0068369A">
      <w:pPr>
        <w:pStyle w:val="Untitledsubclause2"/>
      </w:pPr>
      <w:bookmarkStart w:id="85" w:name="a435613"/>
      <w:r>
        <w:t xml:space="preserve">[DETAILS OF DELIVERABLE TWO]: </w:t>
      </w:r>
      <w:proofErr w:type="gramStart"/>
      <w:r>
        <w:t>£[</w:t>
      </w:r>
      <w:proofErr w:type="gramEnd"/>
      <w:r>
        <w:t>FEE PAYABLE].</w:t>
      </w:r>
      <w:bookmarkEnd w:id="85"/>
    </w:p>
    <w:p w14:paraId="00204544" w14:textId="77777777" w:rsidR="00AB08A1" w:rsidRDefault="00AB08A1" w:rsidP="0068369A">
      <w:pPr>
        <w:pStyle w:val="Untitledsubclause2"/>
      </w:pPr>
      <w:bookmarkStart w:id="86" w:name="a210432"/>
      <w:r>
        <w:t xml:space="preserve">[DETAILS OF DELIVERABLE THREE]: </w:t>
      </w:r>
      <w:proofErr w:type="gramStart"/>
      <w:r>
        <w:t>£[</w:t>
      </w:r>
      <w:proofErr w:type="gramEnd"/>
      <w:r>
        <w:t>FEE PAYABLE].</w:t>
      </w:r>
      <w:bookmarkEnd w:id="86"/>
    </w:p>
    <w:p w14:paraId="00204545" w14:textId="77777777" w:rsidR="00AB08A1" w:rsidRDefault="00AB08A1" w:rsidP="0068369A">
      <w:pPr>
        <w:pStyle w:val="Parasubclause1"/>
      </w:pPr>
      <w:r>
        <w:t xml:space="preserve">The fees set out in this clause 4.1 shall only be payable to the </w:t>
      </w:r>
      <w:r>
        <w:t>Consultant following the achievement of a Deliverable (as set out more particularly in Schedule 1) to the satisfaction of the Client. The Consultant shall submit invoices, in each case, within [INSERT TIME PERIOD] of achievement of a Deliverable to the satisfaction of the Client.]</w:t>
      </w:r>
    </w:p>
    <w:p w14:paraId="00204546" w14:textId="77777777" w:rsidR="00AB08A1" w:rsidRDefault="00AB08A1" w:rsidP="0068369A">
      <w:pPr>
        <w:pStyle w:val="Untitledsubclause1"/>
      </w:pPr>
      <w:bookmarkStart w:id="87" w:name="a709180"/>
      <w:r>
        <w:lastRenderedPageBreak/>
        <w:t xml:space="preserve">In consideration of the provision of the Services during the Engagement, the Client shall pay each invoice submitted by the Consultant in accordance with </w:t>
      </w:r>
      <w:r>
        <w:fldChar w:fldCharType="begin"/>
      </w:r>
      <w:r>
        <w:instrText>PAGEREF a675508\# "'clause '"  \h</w:instrText>
      </w:r>
      <w:r>
        <w:fldChar w:fldCharType="separate"/>
      </w:r>
      <w:r>
        <w:t xml:space="preserve">clause </w:t>
      </w:r>
      <w:r>
        <w:fldChar w:fldCharType="end"/>
      </w:r>
      <w:r>
        <w:fldChar w:fldCharType="begin"/>
      </w:r>
      <w:r>
        <w:rPr>
          <w:highlight w:val="lightGray"/>
        </w:rPr>
        <w:instrText>REF a675508 \h \w</w:instrText>
      </w:r>
      <w:r>
        <w:fldChar w:fldCharType="separate"/>
      </w:r>
      <w:r>
        <w:t>4.1</w:t>
      </w:r>
      <w:r>
        <w:fldChar w:fldCharType="end"/>
      </w:r>
      <w:r>
        <w:t xml:space="preserve"> within [NUMBER] weeks of receipt. </w:t>
      </w:r>
      <w:bookmarkEnd w:id="87"/>
    </w:p>
    <w:p w14:paraId="00204547" w14:textId="77777777" w:rsidR="00AB08A1" w:rsidRDefault="00AB08A1" w:rsidP="0068369A">
      <w:pPr>
        <w:pStyle w:val="Untitledsubclause1"/>
      </w:pPr>
      <w:bookmarkStart w:id="88" w:name="a834725"/>
      <w:r>
        <w:t>The Client shall be entitled to deduct from the fees (and any other sums) due to the Consultant any sums that the Consultant may owe to the Client [or any Group Company] at any time.</w:t>
      </w:r>
      <w:bookmarkEnd w:id="88"/>
    </w:p>
    <w:p w14:paraId="00204548" w14:textId="77777777" w:rsidR="00AB08A1" w:rsidRDefault="00AB08A1" w:rsidP="0068369A">
      <w:pPr>
        <w:pStyle w:val="Untitledsubclause1"/>
      </w:pPr>
      <w:bookmarkStart w:id="89" w:name="a791592"/>
      <w:r>
        <w:t xml:space="preserve">Payment in full or in part of the fees claimed under </w:t>
      </w:r>
      <w:r>
        <w:fldChar w:fldCharType="begin"/>
      </w:r>
      <w:r>
        <w:instrText>PAGEREF a839540\# "'clause '"  \h</w:instrText>
      </w:r>
      <w:r>
        <w:fldChar w:fldCharType="separate"/>
      </w:r>
      <w:r>
        <w:t xml:space="preserve">clause </w:t>
      </w:r>
      <w:r>
        <w:fldChar w:fldCharType="end"/>
      </w:r>
      <w:r>
        <w:fldChar w:fldCharType="begin"/>
      </w:r>
      <w:r>
        <w:rPr>
          <w:highlight w:val="lightGray"/>
        </w:rPr>
        <w:instrText>REF a839540 \h \w</w:instrText>
      </w:r>
      <w:r>
        <w:fldChar w:fldCharType="separate"/>
      </w:r>
      <w:r>
        <w:t>4</w:t>
      </w:r>
      <w:r>
        <w:fldChar w:fldCharType="end"/>
      </w:r>
      <w:r>
        <w:t xml:space="preserve"> [or any expenses claimed under </w:t>
      </w:r>
      <w:r>
        <w:fldChar w:fldCharType="begin"/>
      </w:r>
      <w:r>
        <w:instrText>PAGEREF a603525\# "'clause '"  \h</w:instrText>
      </w:r>
      <w:r>
        <w:fldChar w:fldCharType="separate"/>
      </w:r>
      <w:r>
        <w:t xml:space="preserve">clause </w:t>
      </w:r>
      <w:r>
        <w:fldChar w:fldCharType="end"/>
      </w:r>
      <w:r>
        <w:fldChar w:fldCharType="begin"/>
      </w:r>
      <w:r>
        <w:rPr>
          <w:highlight w:val="lightGray"/>
        </w:rPr>
        <w:instrText>REF a603525 \h \w</w:instrText>
      </w:r>
      <w:r>
        <w:fldChar w:fldCharType="separate"/>
      </w:r>
      <w:r>
        <w:t>5</w:t>
      </w:r>
      <w:r>
        <w:fldChar w:fldCharType="end"/>
      </w:r>
      <w:r>
        <w:t>] shall be without prejudice to any claims or rights of the Client [or any Group Company] against the Consultant in respect of the provision of the Services.</w:t>
      </w:r>
      <w:bookmarkEnd w:id="89"/>
    </w:p>
    <w:p w14:paraId="00204549" w14:textId="77777777" w:rsidR="00AB08A1" w:rsidRDefault="00AB08A1" w:rsidP="0068369A">
      <w:pPr>
        <w:pStyle w:val="TitleClause"/>
      </w:pPr>
      <w:r>
        <w:fldChar w:fldCharType="begin"/>
      </w:r>
      <w:r>
        <w:instrText>TC "5. Expenses" \l 1</w:instrText>
      </w:r>
      <w:r>
        <w:fldChar w:fldCharType="end"/>
      </w:r>
      <w:bookmarkStart w:id="90" w:name="_Toc256000004"/>
      <w:bookmarkStart w:id="91" w:name="a603525"/>
      <w:r>
        <w:t>Expenses</w:t>
      </w:r>
      <w:bookmarkEnd w:id="90"/>
      <w:bookmarkEnd w:id="91"/>
    </w:p>
    <w:p w14:paraId="0020454A" w14:textId="77777777" w:rsidR="00AB08A1" w:rsidRDefault="00AB08A1" w:rsidP="0068369A">
      <w:pPr>
        <w:pStyle w:val="Untitledsubclause1"/>
      </w:pPr>
      <w:bookmarkStart w:id="92" w:name="a394612"/>
      <w:r>
        <w:t xml:space="preserve">[The Client shall reimburse all reasonable expenses properly and necessarily incurred by the Consultant </w:t>
      </w:r>
      <w:proofErr w:type="gramStart"/>
      <w:r>
        <w:t>in the course of</w:t>
      </w:r>
      <w:proofErr w:type="gramEnd"/>
      <w:r>
        <w:t xml:space="preserve"> the Engagement, subject to production of receipts or other appropriate evidence of payment </w:t>
      </w:r>
      <w:r>
        <w:rPr>
          <w:b/>
        </w:rPr>
        <w:t>OR</w:t>
      </w:r>
      <w:r>
        <w:t xml:space="preserve"> The Consultant shall bear their own expenses incurred </w:t>
      </w:r>
      <w:proofErr w:type="gramStart"/>
      <w:r>
        <w:t>in the course of</w:t>
      </w:r>
      <w:proofErr w:type="gramEnd"/>
      <w:r>
        <w:t xml:space="preserve"> the Engagement].</w:t>
      </w:r>
      <w:bookmarkEnd w:id="92"/>
    </w:p>
    <w:p w14:paraId="0020454B" w14:textId="77777777" w:rsidR="00AB08A1" w:rsidRDefault="00AB08A1" w:rsidP="0068369A">
      <w:pPr>
        <w:pStyle w:val="Untitledsubclause1"/>
      </w:pPr>
      <w:bookmarkStart w:id="93" w:name="a609105"/>
      <w:r>
        <w:t xml:space="preserve">If the Consultant is required to travel abroad </w:t>
      </w:r>
      <w:proofErr w:type="gramStart"/>
      <w:r>
        <w:t>in the course of</w:t>
      </w:r>
      <w:proofErr w:type="gramEnd"/>
      <w:r>
        <w:t xml:space="preserve"> the Engagement, they shall be responsible for any necessary insurances, inoculations and immigration requirements.</w:t>
      </w:r>
      <w:bookmarkEnd w:id="93"/>
    </w:p>
    <w:p w14:paraId="0020454C" w14:textId="77777777" w:rsidR="00AB08A1" w:rsidRDefault="00AB08A1" w:rsidP="0068369A">
      <w:pPr>
        <w:pStyle w:val="TitleClause"/>
      </w:pPr>
      <w:r>
        <w:fldChar w:fldCharType="begin"/>
      </w:r>
      <w:r>
        <w:instrText>TC "6. Other activities" \l 1</w:instrText>
      </w:r>
      <w:r>
        <w:fldChar w:fldCharType="end"/>
      </w:r>
      <w:bookmarkStart w:id="94" w:name="_Toc256000005"/>
      <w:bookmarkStart w:id="95" w:name="a972516"/>
      <w:r>
        <w:t>Other activities</w:t>
      </w:r>
      <w:bookmarkEnd w:id="94"/>
      <w:bookmarkEnd w:id="95"/>
    </w:p>
    <w:p w14:paraId="0020454D" w14:textId="77777777" w:rsidR="00AB08A1" w:rsidRDefault="00AB08A1" w:rsidP="0068369A">
      <w:pPr>
        <w:pStyle w:val="IgnoredEmptysubclause"/>
      </w:pPr>
      <w:r>
        <w:t>a769911</w:t>
      </w:r>
    </w:p>
    <w:p w14:paraId="0020454E" w14:textId="77777777" w:rsidR="00AB08A1" w:rsidRDefault="00AB08A1" w:rsidP="0068369A">
      <w:pPr>
        <w:pStyle w:val="NoNumUntitledsubclause1"/>
      </w:pPr>
      <w:bookmarkStart w:id="96" w:name="a321449"/>
      <w:r>
        <w:t>Nothing in this agreement shall prevent the Consultant from being engaged, concerned or having any financial interest in any Capacity in any other business, trade, profession or occupation during the Engagement provided that:</w:t>
      </w:r>
      <w:bookmarkEnd w:id="96"/>
    </w:p>
    <w:p w14:paraId="0020454F" w14:textId="77777777" w:rsidR="00AB08A1" w:rsidRDefault="00AB08A1" w:rsidP="0068369A">
      <w:pPr>
        <w:pStyle w:val="Untitledsubclause2"/>
      </w:pPr>
      <w:bookmarkStart w:id="97" w:name="a304073"/>
      <w:r>
        <w:t xml:space="preserve">such activity does not cause a breach of any of the Consultant's obligations under this </w:t>
      </w:r>
      <w:proofErr w:type="gramStart"/>
      <w:r>
        <w:t>agreement;</w:t>
      </w:r>
      <w:proofErr w:type="gramEnd"/>
      <w:r>
        <w:t xml:space="preserve"> </w:t>
      </w:r>
      <w:bookmarkEnd w:id="97"/>
    </w:p>
    <w:p w14:paraId="00204550" w14:textId="77777777" w:rsidR="00AB08A1" w:rsidRDefault="00AB08A1" w:rsidP="0068369A">
      <w:pPr>
        <w:pStyle w:val="Untitledsubclause2"/>
      </w:pPr>
      <w:bookmarkStart w:id="98" w:name="a233218"/>
      <w:r>
        <w:t xml:space="preserve">the Consultant shall not engage in any such activity if it relates to a business which is </w:t>
      </w:r>
      <w:proofErr w:type="gramStart"/>
      <w:r>
        <w:t>similar to</w:t>
      </w:r>
      <w:proofErr w:type="gramEnd"/>
      <w:r>
        <w:t xml:space="preserve"> or in any way competitive with the Business of the Client [or any Group Company] without the prior written consent of the [Client </w:t>
      </w:r>
      <w:r>
        <w:rPr>
          <w:b/>
        </w:rPr>
        <w:t>OR</w:t>
      </w:r>
      <w:r>
        <w:t xml:space="preserve"> Board] [(such consent not to be unreasonably withheld)]; and</w:t>
      </w:r>
      <w:bookmarkEnd w:id="98"/>
    </w:p>
    <w:p w14:paraId="00204551" w14:textId="77777777" w:rsidR="00AB08A1" w:rsidRDefault="00AB08A1" w:rsidP="0068369A">
      <w:pPr>
        <w:pStyle w:val="Untitledsubclause2"/>
      </w:pPr>
      <w:bookmarkStart w:id="99" w:name="a825968"/>
      <w:r>
        <w:t>the Consultant shall give priority to the provision of the Services to the Client over any other business activities undertaken by the Consultant during the Engagement.</w:t>
      </w:r>
      <w:bookmarkEnd w:id="99"/>
    </w:p>
    <w:p w14:paraId="00204552" w14:textId="77777777" w:rsidR="00AB08A1" w:rsidRDefault="00AB08A1" w:rsidP="0068369A">
      <w:pPr>
        <w:pStyle w:val="TitleClause"/>
      </w:pPr>
      <w:r>
        <w:lastRenderedPageBreak/>
        <w:fldChar w:fldCharType="begin"/>
      </w:r>
      <w:r>
        <w:instrText xml:space="preserve">TC "7. </w:instrText>
      </w:r>
      <w:r>
        <w:instrText>[Confidential information" \l 1</w:instrText>
      </w:r>
      <w:r>
        <w:fldChar w:fldCharType="end"/>
      </w:r>
      <w:bookmarkStart w:id="100" w:name="_Toc256000006"/>
      <w:bookmarkStart w:id="101" w:name="a504848"/>
      <w:r>
        <w:t>[Confidential information</w:t>
      </w:r>
      <w:bookmarkEnd w:id="100"/>
      <w:bookmarkEnd w:id="101"/>
    </w:p>
    <w:p w14:paraId="00204553" w14:textId="77777777" w:rsidR="00AB08A1" w:rsidRDefault="00AB08A1" w:rsidP="0068369A">
      <w:pPr>
        <w:pStyle w:val="Untitledsubclause1"/>
      </w:pPr>
      <w:bookmarkStart w:id="102" w:name="a913662"/>
      <w:r>
        <w:t xml:space="preserve">The Consultant acknowledges that during the Engagement they will have access to Confidential Information. The Consultant has therefore agreed to accept the restrictions in this </w:t>
      </w:r>
      <w:r>
        <w:fldChar w:fldCharType="begin"/>
      </w:r>
      <w:r>
        <w:instrText>PAGEREF a504848\# "'clause '"  \h</w:instrText>
      </w:r>
      <w:r>
        <w:fldChar w:fldCharType="separate"/>
      </w:r>
      <w:r>
        <w:t xml:space="preserve">clause </w:t>
      </w:r>
      <w:r>
        <w:fldChar w:fldCharType="end"/>
      </w:r>
      <w:r>
        <w:fldChar w:fldCharType="begin"/>
      </w:r>
      <w:r>
        <w:rPr>
          <w:highlight w:val="lightGray"/>
        </w:rPr>
        <w:instrText>REF a504848 \h \w</w:instrText>
      </w:r>
      <w:r>
        <w:fldChar w:fldCharType="separate"/>
      </w:r>
      <w:r>
        <w:t>7</w:t>
      </w:r>
      <w:r>
        <w:fldChar w:fldCharType="end"/>
      </w:r>
      <w:r>
        <w:t>.</w:t>
      </w:r>
      <w:bookmarkEnd w:id="102"/>
    </w:p>
    <w:p w14:paraId="00204554" w14:textId="77777777" w:rsidR="00AB08A1" w:rsidRDefault="00AB08A1" w:rsidP="0068369A">
      <w:pPr>
        <w:pStyle w:val="Untitledsubclause1"/>
      </w:pPr>
      <w:bookmarkStart w:id="103" w:name="a284196"/>
      <w:r>
        <w:t>The Consultant shall not [and shall procure that any Substitute shall not] (except in the proper course of providing the Services, as authorised or required by law or as authorised by the Client), either during the Engagement or at any time after the Termination Date:</w:t>
      </w:r>
      <w:bookmarkEnd w:id="103"/>
    </w:p>
    <w:p w14:paraId="00204555" w14:textId="77777777" w:rsidR="00AB08A1" w:rsidRDefault="00AB08A1" w:rsidP="0068369A">
      <w:pPr>
        <w:pStyle w:val="Untitledsubclause2"/>
      </w:pPr>
      <w:bookmarkStart w:id="104" w:name="a543620"/>
      <w:r>
        <w:t xml:space="preserve">use any Confidential Information for their own benefit or for the benefit of any other person, company or organisation </w:t>
      </w:r>
      <w:proofErr w:type="gramStart"/>
      <w:r>
        <w:t>whatever;</w:t>
      </w:r>
      <w:bookmarkEnd w:id="104"/>
      <w:proofErr w:type="gramEnd"/>
    </w:p>
    <w:p w14:paraId="00204556" w14:textId="77777777" w:rsidR="00AB08A1" w:rsidRDefault="00AB08A1" w:rsidP="0068369A">
      <w:pPr>
        <w:pStyle w:val="Untitledsubclause2"/>
      </w:pPr>
      <w:bookmarkStart w:id="105" w:name="a174058"/>
      <w:r>
        <w:t>make or use any Copies; or</w:t>
      </w:r>
      <w:bookmarkEnd w:id="105"/>
    </w:p>
    <w:p w14:paraId="00204557" w14:textId="77777777" w:rsidR="00AB08A1" w:rsidRDefault="00AB08A1" w:rsidP="0068369A">
      <w:pPr>
        <w:pStyle w:val="Untitledsubclause2"/>
      </w:pPr>
      <w:bookmarkStart w:id="106" w:name="a899912"/>
      <w:r>
        <w:t>disclose any Confidential Information to any person, company or other organisation whatever.</w:t>
      </w:r>
      <w:bookmarkEnd w:id="106"/>
    </w:p>
    <w:p w14:paraId="00204558" w14:textId="77777777" w:rsidR="00AB08A1" w:rsidRPr="00093CDA" w:rsidRDefault="00AB08A1" w:rsidP="0068369A">
      <w:pPr>
        <w:pStyle w:val="Untitledsubclause1"/>
      </w:pPr>
      <w:bookmarkStart w:id="107" w:name="a923567"/>
      <w:r>
        <w:t xml:space="preserve">[The restriction in </w:t>
      </w:r>
      <w:r>
        <w:fldChar w:fldCharType="begin"/>
      </w:r>
      <w:r>
        <w:instrText>PAGEREF a284196\# "'clause '"  \h</w:instrText>
      </w:r>
      <w:r>
        <w:fldChar w:fldCharType="separate"/>
      </w:r>
      <w:r>
        <w:t xml:space="preserve">clause </w:t>
      </w:r>
      <w:r>
        <w:fldChar w:fldCharType="end"/>
      </w:r>
      <w:r>
        <w:fldChar w:fldCharType="begin"/>
      </w:r>
      <w:r>
        <w:rPr>
          <w:highlight w:val="lightGray"/>
        </w:rPr>
        <w:instrText>REF a284196 \h \w</w:instrText>
      </w:r>
      <w:r>
        <w:fldChar w:fldCharType="separate"/>
      </w:r>
      <w:r>
        <w:t>7.2</w:t>
      </w:r>
      <w:r>
        <w:fldChar w:fldCharType="end"/>
      </w:r>
      <w:r>
        <w:t xml:space="preserve"> does not apply to any Confidential Information which is or comes into the public domain other than through the Consultant's unauthorised disclosure.]</w:t>
      </w:r>
      <w:bookmarkEnd w:id="107"/>
    </w:p>
    <w:p w14:paraId="00204559" w14:textId="77777777" w:rsidR="00AB08A1" w:rsidRDefault="00AB08A1" w:rsidP="0068369A">
      <w:pPr>
        <w:pStyle w:val="Untitledsubclause1"/>
      </w:pPr>
      <w:bookmarkStart w:id="108" w:name="a464522"/>
      <w:r>
        <w:t xml:space="preserve">The Consultant shall be responsible for protecting the confidentiality of the Confidential Information. The Consultant </w:t>
      </w:r>
      <w:proofErr w:type="gramStart"/>
      <w:r>
        <w:t>shall[</w:t>
      </w:r>
      <w:proofErr w:type="gramEnd"/>
      <w:r>
        <w:t>, and shall procure that any Substitute shall]:</w:t>
      </w:r>
      <w:bookmarkEnd w:id="108"/>
    </w:p>
    <w:p w14:paraId="0020455A" w14:textId="77777777" w:rsidR="00AB08A1" w:rsidRDefault="00AB08A1" w:rsidP="0068369A">
      <w:pPr>
        <w:pStyle w:val="Untitledsubclause2"/>
      </w:pPr>
      <w:bookmarkStart w:id="109" w:name="a417444"/>
      <w:r>
        <w:t>use their best endeavours to prevent the use or communication of any Confidential Information by any person, company or organisation whatever (except in the proper course of providing the Services, as required by law or as authorised by the Client); and</w:t>
      </w:r>
      <w:bookmarkEnd w:id="109"/>
    </w:p>
    <w:p w14:paraId="0020455B" w14:textId="77777777" w:rsidR="00AB08A1" w:rsidRDefault="00AB08A1" w:rsidP="0068369A">
      <w:pPr>
        <w:pStyle w:val="Untitledsubclause2"/>
      </w:pPr>
      <w:bookmarkStart w:id="110" w:name="a572598"/>
      <w:r>
        <w:t>inform the Client immediately on becoming aware, or suspecting, that any such person, company or organisation knows or has used any Confidential Information.</w:t>
      </w:r>
      <w:bookmarkEnd w:id="110"/>
    </w:p>
    <w:p w14:paraId="0020455C" w14:textId="77777777" w:rsidR="00AB08A1" w:rsidRDefault="00AB08A1" w:rsidP="0068369A">
      <w:pPr>
        <w:pStyle w:val="Untitledsubclause1"/>
      </w:pPr>
      <w:bookmarkStart w:id="111" w:name="a646535"/>
      <w:r>
        <w:t xml:space="preserve">All Confidential Information and Copies shall be the Client's property and on termination of the Engagement, or at the Client's request at any time during the Engagement, the Consultant </w:t>
      </w:r>
      <w:proofErr w:type="gramStart"/>
      <w:r>
        <w:t>shall[</w:t>
      </w:r>
      <w:proofErr w:type="gramEnd"/>
      <w:r>
        <w:t>, and shall procure that any Substitute shall]:</w:t>
      </w:r>
      <w:bookmarkEnd w:id="111"/>
    </w:p>
    <w:p w14:paraId="0020455D" w14:textId="77777777" w:rsidR="00AB08A1" w:rsidRDefault="00AB08A1" w:rsidP="0068369A">
      <w:pPr>
        <w:pStyle w:val="Untitledsubclause2"/>
      </w:pPr>
      <w:bookmarkStart w:id="112" w:name="a484948"/>
      <w:r>
        <w:t xml:space="preserve">hand over all Confidential Information and Copies to the </w:t>
      </w:r>
      <w:proofErr w:type="gramStart"/>
      <w:r>
        <w:t>Client;</w:t>
      </w:r>
      <w:bookmarkEnd w:id="112"/>
      <w:proofErr w:type="gramEnd"/>
    </w:p>
    <w:p w14:paraId="0020455E" w14:textId="77777777" w:rsidR="00AB08A1" w:rsidRDefault="00AB08A1" w:rsidP="0068369A">
      <w:pPr>
        <w:pStyle w:val="Untitledsubclause2"/>
      </w:pPr>
      <w:bookmarkStart w:id="113" w:name="a879074"/>
      <w:r>
        <w:t xml:space="preserve">irretrievably delete any Confidential Information (including any Copies) stored on any magnetic or optical disk or memory, including personal computer networks, personal email accounts, or personal accounts on websites, and all matter derived from such sources which is in their possession or under their control outside [the Client's </w:t>
      </w:r>
      <w:r>
        <w:rPr>
          <w:b/>
          <w:bCs/>
        </w:rPr>
        <w:t>OR</w:t>
      </w:r>
      <w:r>
        <w:t xml:space="preserve"> any Group Company's] premises; and</w:t>
      </w:r>
      <w:bookmarkEnd w:id="113"/>
    </w:p>
    <w:p w14:paraId="0020455F" w14:textId="77777777" w:rsidR="00AB08A1" w:rsidRDefault="00AB08A1" w:rsidP="0068369A">
      <w:pPr>
        <w:pStyle w:val="Untitledsubclause2"/>
      </w:pPr>
      <w:bookmarkStart w:id="114" w:name="a190265"/>
      <w:r>
        <w:lastRenderedPageBreak/>
        <w:t xml:space="preserve">provide a signed statement that they have complied fully with their obligations under this </w:t>
      </w:r>
      <w:r>
        <w:fldChar w:fldCharType="begin"/>
      </w:r>
      <w:r>
        <w:instrText>PAGEREF a504848\# "'clause '"  \h</w:instrText>
      </w:r>
      <w:r>
        <w:fldChar w:fldCharType="separate"/>
      </w:r>
      <w:r>
        <w:t xml:space="preserve">clause </w:t>
      </w:r>
      <w:r>
        <w:fldChar w:fldCharType="end"/>
      </w:r>
      <w:r>
        <w:fldChar w:fldCharType="begin"/>
      </w:r>
      <w:r>
        <w:rPr>
          <w:highlight w:val="lightGray"/>
        </w:rPr>
        <w:instrText>REF a504848 \h \w</w:instrText>
      </w:r>
      <w:r>
        <w:fldChar w:fldCharType="separate"/>
      </w:r>
      <w:r>
        <w:t>7</w:t>
      </w:r>
      <w:r>
        <w:fldChar w:fldCharType="end"/>
      </w:r>
      <w:r>
        <w:t>.</w:t>
      </w:r>
      <w:bookmarkEnd w:id="114"/>
    </w:p>
    <w:p w14:paraId="00204560" w14:textId="77777777" w:rsidR="00AB08A1" w:rsidRDefault="00AB08A1" w:rsidP="0068369A">
      <w:pPr>
        <w:pStyle w:val="Untitledsubclause1"/>
      </w:pPr>
      <w:bookmarkStart w:id="115" w:name="a653044"/>
      <w:r>
        <w:t xml:space="preserve">Nothing in this </w:t>
      </w:r>
      <w:r>
        <w:fldChar w:fldCharType="begin"/>
      </w:r>
      <w:r>
        <w:instrText>PAGEREF a504848\# "'clause '"  \h</w:instrText>
      </w:r>
      <w:r>
        <w:fldChar w:fldCharType="separate"/>
      </w:r>
      <w:r>
        <w:t xml:space="preserve">clause </w:t>
      </w:r>
      <w:r>
        <w:fldChar w:fldCharType="end"/>
      </w:r>
      <w:r>
        <w:fldChar w:fldCharType="begin"/>
      </w:r>
      <w:r>
        <w:rPr>
          <w:highlight w:val="lightGray"/>
        </w:rPr>
        <w:instrText>REF a504848 \h \w</w:instrText>
      </w:r>
      <w:r>
        <w:fldChar w:fldCharType="separate"/>
      </w:r>
      <w:r>
        <w:t>7</w:t>
      </w:r>
      <w:r>
        <w:fldChar w:fldCharType="end"/>
      </w:r>
      <w:r>
        <w:t xml:space="preserve"> shall prevent the Consultant from:</w:t>
      </w:r>
      <w:bookmarkEnd w:id="115"/>
    </w:p>
    <w:p w14:paraId="00204561" w14:textId="77777777" w:rsidR="00AB08A1" w:rsidRDefault="00AB08A1" w:rsidP="0068369A">
      <w:pPr>
        <w:pStyle w:val="Untitledsubclause2"/>
      </w:pPr>
      <w:bookmarkStart w:id="116" w:name="a717727"/>
      <w:r>
        <w:t xml:space="preserve">reporting a suspected criminal offence to the police or any law enforcement agency or co-operating with the police or any law enforcement agency regarding a criminal investigation or </w:t>
      </w:r>
      <w:proofErr w:type="gramStart"/>
      <w:r>
        <w:t>prosecution;</w:t>
      </w:r>
      <w:proofErr w:type="gramEnd"/>
      <w:r>
        <w:t xml:space="preserve"> </w:t>
      </w:r>
      <w:bookmarkEnd w:id="116"/>
    </w:p>
    <w:p w14:paraId="00204562" w14:textId="77777777" w:rsidR="00AB08A1" w:rsidRDefault="00AB08A1" w:rsidP="0068369A">
      <w:pPr>
        <w:pStyle w:val="Untitledsubclause2"/>
      </w:pPr>
      <w:bookmarkStart w:id="117" w:name="a372488"/>
      <w:r>
        <w:t xml:space="preserve">doing or saying anything that is required by HMRC or a regulator, ombudsman or supervisory </w:t>
      </w:r>
      <w:proofErr w:type="gramStart"/>
      <w:r>
        <w:t>authority;</w:t>
      </w:r>
      <w:proofErr w:type="gramEnd"/>
      <w:r>
        <w:t xml:space="preserve"> </w:t>
      </w:r>
      <w:bookmarkEnd w:id="117"/>
    </w:p>
    <w:p w14:paraId="00204563" w14:textId="77777777" w:rsidR="00AB08A1" w:rsidRDefault="00AB08A1" w:rsidP="0068369A">
      <w:pPr>
        <w:pStyle w:val="Untitledsubclause2"/>
      </w:pPr>
      <w:bookmarkStart w:id="118" w:name="a177893"/>
      <w:r>
        <w:t>whether required by law or not, making a disclosure to, or co-operating with any investigation by, HMRC or a regulator, ombudsman or supervisory authority regarding any misconduct, wrongdoing or serious breach of regulatory requirements (including giving evidence at a hearing</w:t>
      </w:r>
      <w:proofErr w:type="gramStart"/>
      <w:r>
        <w:t>);</w:t>
      </w:r>
      <w:proofErr w:type="gramEnd"/>
      <w:r>
        <w:t xml:space="preserve"> </w:t>
      </w:r>
      <w:bookmarkEnd w:id="118"/>
    </w:p>
    <w:p w14:paraId="00204564" w14:textId="77777777" w:rsidR="00AB08A1" w:rsidRDefault="00AB08A1" w:rsidP="0068369A">
      <w:pPr>
        <w:pStyle w:val="Untitledsubclause2"/>
      </w:pPr>
      <w:bookmarkStart w:id="119" w:name="a347585"/>
      <w:r>
        <w:t xml:space="preserve">complying with an order from a court or tribunal to disclose or give </w:t>
      </w:r>
      <w:proofErr w:type="gramStart"/>
      <w:r>
        <w:t>evidence;</w:t>
      </w:r>
      <w:bookmarkEnd w:id="119"/>
      <w:proofErr w:type="gramEnd"/>
    </w:p>
    <w:p w14:paraId="00204565" w14:textId="77777777" w:rsidR="00AB08A1" w:rsidRDefault="00AB08A1" w:rsidP="0068369A">
      <w:pPr>
        <w:pStyle w:val="Untitledsubclause2"/>
      </w:pPr>
      <w:bookmarkStart w:id="120" w:name="a635857"/>
      <w:r>
        <w:t xml:space="preserve">disclosing information to HMRC for the purposes of establishing and paying (or recouping) tax liabilities arising from the </w:t>
      </w:r>
      <w:proofErr w:type="gramStart"/>
      <w:r>
        <w:t>Engagement;</w:t>
      </w:r>
      <w:bookmarkEnd w:id="120"/>
      <w:proofErr w:type="gramEnd"/>
    </w:p>
    <w:p w14:paraId="00204566" w14:textId="77777777" w:rsidR="00AB08A1" w:rsidRDefault="00AB08A1" w:rsidP="0068369A">
      <w:pPr>
        <w:pStyle w:val="Untitledsubclause2"/>
      </w:pPr>
      <w:bookmarkStart w:id="121" w:name="a229758"/>
      <w:r>
        <w:t xml:space="preserve">disclosing information to any person who owes the Consultant a duty of confidentiality (which the Consultant agrees not to waive) in respect of information disclosed to them, including legal or tax advisers or persons providing the Consultant with medical, therapeutic, counselling or support services; or </w:t>
      </w:r>
      <w:bookmarkEnd w:id="121"/>
    </w:p>
    <w:p w14:paraId="00204567" w14:textId="77777777" w:rsidR="00AB08A1" w:rsidRDefault="00AB08A1" w:rsidP="0068369A">
      <w:pPr>
        <w:pStyle w:val="Untitledsubclause2"/>
      </w:pPr>
      <w:bookmarkStart w:id="122" w:name="a412104"/>
      <w:r>
        <w:t>making any other disclosure as required by law.]</w:t>
      </w:r>
      <w:bookmarkEnd w:id="122"/>
    </w:p>
    <w:p w14:paraId="00204568" w14:textId="77777777" w:rsidR="00AB08A1" w:rsidRPr="00A72F5D" w:rsidRDefault="00AB08A1" w:rsidP="0068369A">
      <w:pPr>
        <w:pStyle w:val="TitleClause"/>
      </w:pPr>
      <w:r>
        <w:fldChar w:fldCharType="begin"/>
      </w:r>
      <w:r>
        <w:instrText>TC "8. Data protection" \l 1</w:instrText>
      </w:r>
      <w:r>
        <w:fldChar w:fldCharType="end"/>
      </w:r>
      <w:bookmarkStart w:id="123" w:name="_Toc256000007"/>
      <w:bookmarkStart w:id="124" w:name="a680194"/>
      <w:r>
        <w:t>Data protection</w:t>
      </w:r>
      <w:bookmarkEnd w:id="123"/>
      <w:bookmarkEnd w:id="124"/>
    </w:p>
    <w:p w14:paraId="00204569" w14:textId="77777777" w:rsidR="00AB08A1" w:rsidRPr="00A72F5D" w:rsidRDefault="00AB08A1" w:rsidP="0068369A">
      <w:pPr>
        <w:pStyle w:val="Untitledsubclause1"/>
      </w:pPr>
      <w:bookmarkStart w:id="125" w:name="a325693"/>
      <w:r>
        <w:t xml:space="preserve">The Client will collect and process information relating to the Consultant in </w:t>
      </w:r>
      <w:r>
        <w:t>accordance with the privacy notice which is [on the intranet </w:t>
      </w:r>
      <w:r>
        <w:rPr>
          <w:b/>
          <w:bCs/>
        </w:rPr>
        <w:t>OR</w:t>
      </w:r>
      <w:r>
        <w:t> annexed to this agreement].</w:t>
      </w:r>
      <w:bookmarkEnd w:id="125"/>
    </w:p>
    <w:p w14:paraId="0020456A" w14:textId="77777777" w:rsidR="00AB08A1" w:rsidRPr="00A72F5D" w:rsidRDefault="00AB08A1" w:rsidP="0068369A">
      <w:pPr>
        <w:pStyle w:val="Untitledsubclause1"/>
      </w:pPr>
      <w:bookmarkStart w:id="126" w:name="a985666"/>
      <w:r>
        <w:t xml:space="preserve">[The Consultant and the Client acknowledge that for the purposes of the Data Protection Legislation, the Client is the </w:t>
      </w:r>
      <w:proofErr w:type="gramStart"/>
      <w:r>
        <w:t>controller</w:t>
      </w:r>
      <w:proofErr w:type="gramEnd"/>
      <w:r>
        <w:t xml:space="preserve"> and the Consultant is the processor.</w:t>
      </w:r>
      <w:r>
        <w:fldChar w:fldCharType="begin"/>
      </w:r>
      <w:r>
        <w:fldChar w:fldCharType="end"/>
      </w:r>
      <w:r>
        <w:t>]</w:t>
      </w:r>
      <w:bookmarkEnd w:id="126"/>
    </w:p>
    <w:p w14:paraId="0020456B" w14:textId="77777777" w:rsidR="00AB08A1" w:rsidRPr="00A72F5D" w:rsidRDefault="00AB08A1" w:rsidP="0068369A">
      <w:pPr>
        <w:pStyle w:val="Untitledsubclause1"/>
      </w:pPr>
      <w:bookmarkStart w:id="127" w:name="a848420"/>
      <w:r>
        <w:t>[The Consultant and the Client will comply with the Data Protection Legislation.</w:t>
      </w:r>
      <w:r>
        <w:fldChar w:fldCharType="begin"/>
      </w:r>
      <w:r>
        <w:fldChar w:fldCharType="end"/>
      </w:r>
      <w:r>
        <w:t>]</w:t>
      </w:r>
      <w:bookmarkEnd w:id="127"/>
    </w:p>
    <w:p w14:paraId="0020456C" w14:textId="77777777" w:rsidR="00AB08A1" w:rsidRPr="00A72F5D" w:rsidRDefault="00AB08A1" w:rsidP="0068369A">
      <w:pPr>
        <w:pStyle w:val="Untitledsubclause1"/>
      </w:pPr>
      <w:bookmarkStart w:id="128" w:name="a143989"/>
      <w:r>
        <w:t>[Schedule [2] sets out the scope, nature and purpose of the processing by the Consultant, the duration of the processing and the types of personal data (as defined in the Data Protection Legislation (</w:t>
      </w:r>
      <w:r>
        <w:rPr>
          <w:rStyle w:val="DefTerm"/>
        </w:rPr>
        <w:t>Personal Data</w:t>
      </w:r>
      <w:r>
        <w:t>)) and categories of data subject.</w:t>
      </w:r>
      <w:r>
        <w:fldChar w:fldCharType="begin"/>
      </w:r>
      <w:r>
        <w:fldChar w:fldCharType="end"/>
      </w:r>
      <w:r>
        <w:t>]</w:t>
      </w:r>
      <w:bookmarkEnd w:id="128"/>
    </w:p>
    <w:p w14:paraId="0020456D" w14:textId="77777777" w:rsidR="00AB08A1" w:rsidRPr="00A72F5D" w:rsidRDefault="00AB08A1" w:rsidP="0068369A">
      <w:pPr>
        <w:pStyle w:val="Untitledsubclause1"/>
      </w:pPr>
      <w:bookmarkStart w:id="129" w:name="a373619"/>
      <w:r>
        <w:t>[The Consultant shall, in relation to any Personal Data processed in connection with the Engagement:</w:t>
      </w:r>
      <w:r>
        <w:fldChar w:fldCharType="begin"/>
      </w:r>
      <w:r>
        <w:instrText xml:space="preserve"> MACROBUTTON optional </w:instrText>
      </w:r>
      <w:r>
        <w:fldChar w:fldCharType="end"/>
      </w:r>
      <w:bookmarkEnd w:id="129"/>
    </w:p>
    <w:p w14:paraId="0020456E" w14:textId="77777777" w:rsidR="00AB08A1" w:rsidRPr="00A72F5D" w:rsidRDefault="00AB08A1" w:rsidP="0068369A">
      <w:pPr>
        <w:pStyle w:val="Untitledsubclause2"/>
      </w:pPr>
      <w:bookmarkStart w:id="130" w:name="a824767"/>
      <w:r>
        <w:t xml:space="preserve">process that Personal Data only on written instructions of the </w:t>
      </w:r>
      <w:proofErr w:type="gramStart"/>
      <w:r>
        <w:t>Client;</w:t>
      </w:r>
      <w:bookmarkEnd w:id="130"/>
      <w:proofErr w:type="gramEnd"/>
    </w:p>
    <w:p w14:paraId="0020456F" w14:textId="77777777" w:rsidR="00AB08A1" w:rsidRPr="00A72F5D" w:rsidRDefault="00AB08A1" w:rsidP="0068369A">
      <w:pPr>
        <w:pStyle w:val="Untitledsubclause2"/>
      </w:pPr>
      <w:bookmarkStart w:id="131" w:name="a170337"/>
      <w:r>
        <w:lastRenderedPageBreak/>
        <w:t xml:space="preserve">keep the Personal Data </w:t>
      </w:r>
      <w:proofErr w:type="gramStart"/>
      <w:r>
        <w:t>confidential;</w:t>
      </w:r>
      <w:bookmarkEnd w:id="131"/>
      <w:proofErr w:type="gramEnd"/>
    </w:p>
    <w:p w14:paraId="00204570" w14:textId="77777777" w:rsidR="00AB08A1" w:rsidRPr="00A72F5D" w:rsidRDefault="00AB08A1" w:rsidP="0068369A">
      <w:pPr>
        <w:pStyle w:val="Untitledsubclause2"/>
      </w:pPr>
      <w:bookmarkStart w:id="132" w:name="a265296"/>
      <w:r>
        <w:t xml:space="preserve">comply with the Client's [privacy standard </w:t>
      </w:r>
      <w:r>
        <w:rPr>
          <w:b/>
        </w:rPr>
        <w:t>OR</w:t>
      </w:r>
      <w:r>
        <w:t xml:space="preserve"> data protection policy] [data retention guidelines] [LIST OTHER POLICIES</w:t>
      </w:r>
      <w:proofErr w:type="gramStart"/>
      <w:r>
        <w:t>];</w:t>
      </w:r>
      <w:bookmarkEnd w:id="132"/>
      <w:proofErr w:type="gramEnd"/>
    </w:p>
    <w:p w14:paraId="00204571" w14:textId="77777777" w:rsidR="00AB08A1" w:rsidRPr="00A72F5D" w:rsidRDefault="00AB08A1" w:rsidP="0068369A">
      <w:pPr>
        <w:pStyle w:val="Untitledsubclause2"/>
      </w:pPr>
      <w:bookmarkStart w:id="133" w:name="a366118"/>
      <w:r>
        <w:t xml:space="preserve">comply with the Client's reasonable instructions with respect to processing Personal </w:t>
      </w:r>
      <w:proofErr w:type="gramStart"/>
      <w:r>
        <w:t>Data;</w:t>
      </w:r>
      <w:bookmarkEnd w:id="133"/>
      <w:proofErr w:type="gramEnd"/>
    </w:p>
    <w:p w14:paraId="00204572" w14:textId="77777777" w:rsidR="00AB08A1" w:rsidRDefault="00AB08A1" w:rsidP="0068369A">
      <w:pPr>
        <w:pStyle w:val="Untitledsubclause2"/>
      </w:pPr>
      <w:bookmarkStart w:id="134" w:name="a565065"/>
      <w:r>
        <w:t xml:space="preserve">[not transfer any Personal Data outside of the </w:t>
      </w:r>
      <w:proofErr w:type="gramStart"/>
      <w:r>
        <w:t>UK;</w:t>
      </w:r>
      <w:bookmarkEnd w:id="134"/>
      <w:proofErr w:type="gramEnd"/>
    </w:p>
    <w:p w14:paraId="00204573" w14:textId="77777777" w:rsidR="00AB08A1" w:rsidRPr="002D3327" w:rsidRDefault="00AB08A1" w:rsidP="0068369A">
      <w:pPr>
        <w:pStyle w:val="Parasubclause2"/>
      </w:pPr>
      <w:r>
        <w:rPr>
          <w:b/>
          <w:bCs/>
        </w:rPr>
        <w:t>OR</w:t>
      </w:r>
    </w:p>
    <w:p w14:paraId="00204574" w14:textId="77777777" w:rsidR="00AB08A1" w:rsidRPr="006917F0" w:rsidRDefault="00AB08A1" w:rsidP="0068369A">
      <w:pPr>
        <w:pStyle w:val="Parasubclause2"/>
      </w:pPr>
      <w:r>
        <w:t>not transfer any Personal Data outside of the UK unless, in accordance with the Data Protection Legislation, the Consultant ensures that (</w:t>
      </w:r>
      <w:proofErr w:type="spellStart"/>
      <w:r>
        <w:t>i</w:t>
      </w:r>
      <w:proofErr w:type="spellEnd"/>
      <w:r>
        <w:t>) the transfer is to a country approved as providing an adequate level of protection for Personal Data; or (ii) there are appropriate safeguards in place for the transfer of Personal Data; or (iii) binding corporate rules are in place; or (iv) one of the derogations for specific situations applies to the transfer;]</w:t>
      </w:r>
    </w:p>
    <w:p w14:paraId="00204575" w14:textId="77777777" w:rsidR="00AB08A1" w:rsidRPr="00A72F5D" w:rsidRDefault="00AB08A1" w:rsidP="0068369A">
      <w:pPr>
        <w:pStyle w:val="Untitledsubclause2"/>
      </w:pPr>
      <w:bookmarkStart w:id="135" w:name="a665557"/>
      <w:r>
        <w:t xml:space="preserve">assist the Client [at the Client's cost] in responding to any data subject access request and to ensure compliance with its obligations under the Data Protection Legislation with respect to security, breach notifications, privacy impact assessments and consultations with supervisory authorities or </w:t>
      </w:r>
      <w:proofErr w:type="gramStart"/>
      <w:r>
        <w:t>regulators;</w:t>
      </w:r>
      <w:bookmarkEnd w:id="135"/>
      <w:proofErr w:type="gramEnd"/>
    </w:p>
    <w:p w14:paraId="00204576" w14:textId="77777777" w:rsidR="00AB08A1" w:rsidRPr="00A72F5D" w:rsidRDefault="00AB08A1" w:rsidP="0068369A">
      <w:pPr>
        <w:pStyle w:val="Untitledsubclause2"/>
      </w:pPr>
      <w:bookmarkStart w:id="136" w:name="a896773"/>
      <w:r>
        <w:t xml:space="preserve">notify the Client without undue delay on becoming aware of a Personal Data breach or communication which relates to the Client's or Consultant's compliance with the Data Protection </w:t>
      </w:r>
      <w:proofErr w:type="gramStart"/>
      <w:r>
        <w:t>Legislation;</w:t>
      </w:r>
      <w:bookmarkEnd w:id="136"/>
      <w:proofErr w:type="gramEnd"/>
    </w:p>
    <w:p w14:paraId="00204577" w14:textId="77777777" w:rsidR="00AB08A1" w:rsidRPr="00A72F5D" w:rsidRDefault="00AB08A1" w:rsidP="0068369A">
      <w:pPr>
        <w:pStyle w:val="Untitledsubclause2"/>
      </w:pPr>
      <w:bookmarkStart w:id="137" w:name="a311429"/>
      <w:r>
        <w:t>at the written request of the Client, delete or return Personal Data (and any copies of the same) to the Client on termination of the Engagement unless required by the Data Protection Legislation to store the Personal Data; and</w:t>
      </w:r>
      <w:bookmarkEnd w:id="137"/>
    </w:p>
    <w:p w14:paraId="00204578" w14:textId="77777777" w:rsidR="00AB08A1" w:rsidRPr="00A72F5D" w:rsidRDefault="00AB08A1" w:rsidP="0068369A">
      <w:pPr>
        <w:pStyle w:val="Untitledsubclause2"/>
      </w:pPr>
      <w:bookmarkStart w:id="138" w:name="a517391"/>
      <w:r>
        <w:t>maintain complete and accurate records and information to demonstrate compliance with this clause [NUMBER] [and allow for audits by the Client or the Client's designated auditor].]</w:t>
      </w:r>
      <w:bookmarkEnd w:id="138"/>
    </w:p>
    <w:p w14:paraId="00204579" w14:textId="77777777" w:rsidR="00AB08A1" w:rsidRPr="00A72F5D" w:rsidRDefault="00AB08A1" w:rsidP="0068369A">
      <w:pPr>
        <w:pStyle w:val="Untitledsubclause1"/>
      </w:pPr>
      <w:bookmarkStart w:id="139" w:name="a339519"/>
      <w:r>
        <w:t>[The Consultant shall ensure that they have in place appropriate technical or organisational measures, reviewed and approved by the Client,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w:t>
      </w:r>
      <w:r>
        <w:t>ment and the cost of implementing any measures. Such measures may include, where appropriate:</w:t>
      </w:r>
      <w:r>
        <w:tab/>
      </w:r>
      <w:r>
        <w:fldChar w:fldCharType="begin"/>
      </w:r>
      <w:r>
        <w:instrText xml:space="preserve"> MACROBUTTON optional </w:instrText>
      </w:r>
      <w:r>
        <w:fldChar w:fldCharType="end"/>
      </w:r>
      <w:bookmarkEnd w:id="139"/>
    </w:p>
    <w:p w14:paraId="0020457A" w14:textId="77777777" w:rsidR="00AB08A1" w:rsidRPr="00A72F5D" w:rsidRDefault="00AB08A1" w:rsidP="0068369A">
      <w:pPr>
        <w:pStyle w:val="Untitledsubclause2"/>
      </w:pPr>
      <w:bookmarkStart w:id="140" w:name="a719227"/>
      <w:r>
        <w:t xml:space="preserve">pseudonymising and encrypting Personal </w:t>
      </w:r>
      <w:proofErr w:type="gramStart"/>
      <w:r>
        <w:t>Data;</w:t>
      </w:r>
      <w:bookmarkEnd w:id="140"/>
      <w:proofErr w:type="gramEnd"/>
    </w:p>
    <w:p w14:paraId="0020457B" w14:textId="77777777" w:rsidR="00AB08A1" w:rsidRPr="00A72F5D" w:rsidRDefault="00AB08A1" w:rsidP="0068369A">
      <w:pPr>
        <w:pStyle w:val="Untitledsubclause2"/>
      </w:pPr>
      <w:bookmarkStart w:id="141" w:name="a185196"/>
      <w:r>
        <w:t xml:space="preserve">ensuring confidentiality, integrity, availability and resilience of its systems and </w:t>
      </w:r>
      <w:proofErr w:type="gramStart"/>
      <w:r>
        <w:t>services;</w:t>
      </w:r>
      <w:bookmarkEnd w:id="141"/>
      <w:proofErr w:type="gramEnd"/>
    </w:p>
    <w:p w14:paraId="0020457C" w14:textId="77777777" w:rsidR="00AB08A1" w:rsidRPr="00A72F5D" w:rsidRDefault="00AB08A1" w:rsidP="0068369A">
      <w:pPr>
        <w:pStyle w:val="Untitledsubclause2"/>
      </w:pPr>
      <w:bookmarkStart w:id="142" w:name="a488826"/>
      <w:r>
        <w:lastRenderedPageBreak/>
        <w:t xml:space="preserve">ensuring that availability of and access to Personal Data can be restored in a timely </w:t>
      </w:r>
      <w:r>
        <w:t>manner after an incident; and</w:t>
      </w:r>
      <w:bookmarkEnd w:id="142"/>
    </w:p>
    <w:p w14:paraId="0020457D" w14:textId="77777777" w:rsidR="00AB08A1" w:rsidRPr="00A72F5D" w:rsidRDefault="00AB08A1" w:rsidP="0068369A">
      <w:pPr>
        <w:pStyle w:val="Untitledsubclause2"/>
      </w:pPr>
      <w:bookmarkStart w:id="143" w:name="a870871"/>
      <w:r>
        <w:t>regularly assessing and evaluating the effectiveness of the technical and organisational measures adopted by it</w:t>
      </w:r>
      <w:proofErr w:type="gramStart"/>
      <w:r>
        <w:t>. ]</w:t>
      </w:r>
      <w:bookmarkEnd w:id="143"/>
      <w:proofErr w:type="gramEnd"/>
    </w:p>
    <w:p w14:paraId="0020457E" w14:textId="77777777" w:rsidR="00AB08A1" w:rsidRDefault="00AB08A1" w:rsidP="0068369A">
      <w:pPr>
        <w:pStyle w:val="Untitledsubclause1"/>
      </w:pPr>
      <w:bookmarkStart w:id="144" w:name="a740323"/>
      <w:r>
        <w:t xml:space="preserve">[The Client does not agree to the Consultant appointing any third-party processor of Personal Data under this agreement. </w:t>
      </w:r>
      <w:bookmarkEnd w:id="144"/>
    </w:p>
    <w:p w14:paraId="0020457F" w14:textId="77777777" w:rsidR="00AB08A1" w:rsidRPr="00055103" w:rsidRDefault="00AB08A1" w:rsidP="0068369A">
      <w:pPr>
        <w:pStyle w:val="Parasubclause1"/>
        <w:rPr>
          <w:b/>
          <w:bCs/>
        </w:rPr>
      </w:pPr>
      <w:r>
        <w:rPr>
          <w:b/>
          <w:bCs/>
        </w:rPr>
        <w:t xml:space="preserve">OR </w:t>
      </w:r>
    </w:p>
    <w:p w14:paraId="00204580" w14:textId="77777777" w:rsidR="00AB08A1" w:rsidRDefault="00AB08A1" w:rsidP="0068369A">
      <w:pPr>
        <w:pStyle w:val="Parasubclause1"/>
      </w:pPr>
      <w:r>
        <w:t>The Consultant may only authorise a sub-processor to process Personal Data if:</w:t>
      </w:r>
    </w:p>
    <w:p w14:paraId="00204581" w14:textId="77777777" w:rsidR="00AB08A1" w:rsidRDefault="00AB08A1" w:rsidP="0068369A">
      <w:pPr>
        <w:pStyle w:val="Untitledsubclause2"/>
      </w:pPr>
      <w:bookmarkStart w:id="145" w:name="a207010"/>
      <w:r>
        <w:t xml:space="preserve">the Client [provides written consent prior to the appointment of each sub-processor] </w:t>
      </w:r>
      <w:r>
        <w:rPr>
          <w:b/>
          <w:bCs/>
        </w:rPr>
        <w:t xml:space="preserve">OR </w:t>
      </w:r>
      <w:r>
        <w:t>[is provided with an opportunity to object to the appointment of each sub-processor within [NUMBER] working days after the Consultant supplies the Client with full details in writing regarding such sub-processor</w:t>
      </w:r>
      <w:proofErr w:type="gramStart"/>
      <w:r>
        <w:t>];</w:t>
      </w:r>
      <w:bookmarkEnd w:id="145"/>
      <w:proofErr w:type="gramEnd"/>
    </w:p>
    <w:p w14:paraId="00204582" w14:textId="77777777" w:rsidR="00AB08A1" w:rsidRDefault="00AB08A1" w:rsidP="0068369A">
      <w:pPr>
        <w:pStyle w:val="Untitledsubclause2"/>
      </w:pPr>
      <w:bookmarkStart w:id="146" w:name="a960552"/>
      <w:r>
        <w:t xml:space="preserve">the Consultant enters into a written contract with the sub-processor that contains terms substantially the same as those set out in this agreement, in particular in relation to requiring appropriate technical and organisational data security measures with regards to Article 32 of the UK GDPR and any relevant requirements under Article 28 of the UK GDPR, including but not limited to the sub-processor allowing for and contributing to audits by or on behalf of the Client and, where relevant, aiding the Client </w:t>
      </w:r>
      <w:r>
        <w:t>to respond to subject access requests, and, upon the Client's written request, provides the Client with copies of the relevant excerpts from such contracts;</w:t>
      </w:r>
      <w:bookmarkEnd w:id="146"/>
    </w:p>
    <w:p w14:paraId="00204583" w14:textId="77777777" w:rsidR="00AB08A1" w:rsidRDefault="00AB08A1" w:rsidP="0068369A">
      <w:pPr>
        <w:pStyle w:val="Untitledsubclause2"/>
      </w:pPr>
      <w:bookmarkStart w:id="147" w:name="a636764"/>
      <w:r>
        <w:t xml:space="preserve">the Consultant maintains control over </w:t>
      </w:r>
      <w:proofErr w:type="gramStart"/>
      <w:r>
        <w:t>all of</w:t>
      </w:r>
      <w:proofErr w:type="gramEnd"/>
      <w:r>
        <w:t xml:space="preserve"> the Personal Data it entrusts to the sub-processor; and</w:t>
      </w:r>
      <w:bookmarkEnd w:id="147"/>
    </w:p>
    <w:p w14:paraId="00204584" w14:textId="77777777" w:rsidR="00AB08A1" w:rsidRDefault="00AB08A1" w:rsidP="0068369A">
      <w:pPr>
        <w:pStyle w:val="Untitledsubclause2"/>
      </w:pPr>
      <w:bookmarkStart w:id="148" w:name="a980350"/>
      <w:r>
        <w:t>the sub-processor's contract terminates automatically on termination of this agreement for any reason.</w:t>
      </w:r>
      <w:bookmarkEnd w:id="148"/>
    </w:p>
    <w:p w14:paraId="00204585" w14:textId="77777777" w:rsidR="00AB08A1" w:rsidRDefault="00AB08A1" w:rsidP="0068369A">
      <w:pPr>
        <w:pStyle w:val="Parasubclause1"/>
      </w:pPr>
      <w:r>
        <w:t xml:space="preserve">The Consultant shall remain fully liable for all acts or omissions of any third-party processor appointed by it pursuant to this </w:t>
      </w:r>
      <w:r>
        <w:fldChar w:fldCharType="begin"/>
      </w:r>
      <w:r>
        <w:instrText>PAGEREF a740323\# "'clause '"  \h</w:instrText>
      </w:r>
      <w:r>
        <w:fldChar w:fldCharType="separate"/>
      </w:r>
      <w:r>
        <w:t xml:space="preserve">clause </w:t>
      </w:r>
      <w:r>
        <w:fldChar w:fldCharType="end"/>
      </w:r>
      <w:r>
        <w:fldChar w:fldCharType="begin"/>
      </w:r>
      <w:r>
        <w:rPr>
          <w:highlight w:val="lightGray"/>
        </w:rPr>
        <w:instrText>REF a740323 \h \w</w:instrText>
      </w:r>
      <w:r>
        <w:fldChar w:fldCharType="separate"/>
      </w:r>
      <w:r>
        <w:t>8.7</w:t>
      </w:r>
      <w:r>
        <w:fldChar w:fldCharType="end"/>
      </w:r>
      <w:r>
        <w:t>.]</w:t>
      </w:r>
    </w:p>
    <w:p w14:paraId="00204586" w14:textId="77777777" w:rsidR="00AB08A1" w:rsidRPr="00A72F5D" w:rsidRDefault="00AB08A1" w:rsidP="0068369A">
      <w:pPr>
        <w:pStyle w:val="Untitledsubclause1"/>
      </w:pPr>
      <w:bookmarkStart w:id="149" w:name="a167121"/>
      <w:r>
        <w:t xml:space="preserve">[The Consultant shall have personal liability for and shall indemnify the Client [and any Group Company] for any loss, liability, costs (including legal costs), damages, or expenses resulting from any breach by the Consultant [or a sub-processor engaged by the Consultant] of the Data Protection </w:t>
      </w:r>
      <w:proofErr w:type="gramStart"/>
      <w:r>
        <w:t>Legislation, and</w:t>
      </w:r>
      <w:proofErr w:type="gramEnd"/>
      <w:r>
        <w:t xml:space="preserve"> shall maintain in force full and comprehensive Insurance Policies.]</w:t>
      </w:r>
      <w:bookmarkEnd w:id="149"/>
    </w:p>
    <w:p w14:paraId="00204587" w14:textId="77777777" w:rsidR="00AB08A1" w:rsidRDefault="00AB08A1" w:rsidP="0068369A">
      <w:pPr>
        <w:pStyle w:val="TitleClause"/>
      </w:pPr>
      <w:r>
        <w:fldChar w:fldCharType="begin"/>
      </w:r>
      <w:r>
        <w:instrText>TC "9. Intellectual property" \l 1</w:instrText>
      </w:r>
      <w:r>
        <w:fldChar w:fldCharType="end"/>
      </w:r>
      <w:bookmarkStart w:id="150" w:name="_Toc256000008"/>
      <w:bookmarkStart w:id="151" w:name="a584068"/>
      <w:r>
        <w:t>Intellectual property</w:t>
      </w:r>
      <w:bookmarkEnd w:id="150"/>
      <w:bookmarkEnd w:id="151"/>
    </w:p>
    <w:p w14:paraId="00204588" w14:textId="77777777" w:rsidR="00AB08A1" w:rsidRDefault="00AB08A1" w:rsidP="0068369A">
      <w:pPr>
        <w:pStyle w:val="Untitledsubclause1"/>
      </w:pPr>
      <w:bookmarkStart w:id="152" w:name="a734395"/>
      <w:r>
        <w:t xml:space="preserve">The Consultant hereby assigns to the Client all existing and future Intellectual Property Rights in the Works and the Inventions and all materials </w:t>
      </w:r>
      <w:proofErr w:type="gramStart"/>
      <w:r>
        <w:t xml:space="preserve">embodying these rights to the </w:t>
      </w:r>
      <w:r>
        <w:lastRenderedPageBreak/>
        <w:t>fullest extent</w:t>
      </w:r>
      <w:proofErr w:type="gramEnd"/>
      <w:r>
        <w:t xml:space="preserve"> permitted by law. Insofar as they do not vest automatically by operation of law or under this agreement, the Consultant holds legal title in these rights and inventions on trust for the Client.</w:t>
      </w:r>
      <w:bookmarkEnd w:id="152"/>
    </w:p>
    <w:p w14:paraId="00204589" w14:textId="77777777" w:rsidR="00AB08A1" w:rsidRDefault="00AB08A1" w:rsidP="0068369A">
      <w:pPr>
        <w:pStyle w:val="Untitledsubclause1"/>
      </w:pPr>
      <w:bookmarkStart w:id="153" w:name="a657660"/>
      <w:r>
        <w:t>The Consultant undertakes:</w:t>
      </w:r>
      <w:bookmarkEnd w:id="153"/>
    </w:p>
    <w:p w14:paraId="0020458A" w14:textId="77777777" w:rsidR="00AB08A1" w:rsidRDefault="00AB08A1" w:rsidP="0068369A">
      <w:pPr>
        <w:pStyle w:val="Untitledsubclause2"/>
      </w:pPr>
      <w:bookmarkStart w:id="154" w:name="a365762"/>
      <w:r>
        <w:t xml:space="preserve">to notify to the Client in writing full details of any Inventions promptly on their </w:t>
      </w:r>
      <w:proofErr w:type="gramStart"/>
      <w:r>
        <w:t>creation;</w:t>
      </w:r>
      <w:bookmarkEnd w:id="154"/>
      <w:proofErr w:type="gramEnd"/>
    </w:p>
    <w:p w14:paraId="0020458B" w14:textId="77777777" w:rsidR="00AB08A1" w:rsidRDefault="00AB08A1" w:rsidP="0068369A">
      <w:pPr>
        <w:pStyle w:val="Untitledsubclause2"/>
      </w:pPr>
      <w:bookmarkStart w:id="155" w:name="a955938"/>
      <w:r>
        <w:t xml:space="preserve">to keep details of all Inventions </w:t>
      </w:r>
      <w:proofErr w:type="gramStart"/>
      <w:r>
        <w:t>confidential;</w:t>
      </w:r>
      <w:bookmarkEnd w:id="155"/>
      <w:proofErr w:type="gramEnd"/>
    </w:p>
    <w:p w14:paraId="0020458C" w14:textId="77777777" w:rsidR="00AB08A1" w:rsidRDefault="00AB08A1" w:rsidP="0068369A">
      <w:pPr>
        <w:pStyle w:val="Untitledsubclause2"/>
      </w:pPr>
      <w:bookmarkStart w:id="156" w:name="a203820"/>
      <w:r>
        <w:t>whenever requested to do so by the Client and in any event on the termination of the Engagement, promptly to deliver to the Client all correspondence, documents, papers and records on all media (and all copies or abstracts of them) recording or relating to any part of the Works and the process of their creation which are in their possession, custody or power;</w:t>
      </w:r>
      <w:bookmarkEnd w:id="156"/>
    </w:p>
    <w:p w14:paraId="0020458D" w14:textId="77777777" w:rsidR="00AB08A1" w:rsidRDefault="00AB08A1" w:rsidP="0068369A">
      <w:pPr>
        <w:pStyle w:val="Untitledsubclause2"/>
      </w:pPr>
      <w:bookmarkStart w:id="157" w:name="a342443"/>
      <w:r>
        <w:t>not to register nor attempt to register any of the Intellectual Property Rights in the Works, nor any of the Inventions, unless requested to do so by the Client; and</w:t>
      </w:r>
      <w:bookmarkEnd w:id="157"/>
    </w:p>
    <w:p w14:paraId="0020458E" w14:textId="77777777" w:rsidR="00AB08A1" w:rsidRDefault="00AB08A1" w:rsidP="0068369A">
      <w:pPr>
        <w:pStyle w:val="Untitledsubclause2"/>
      </w:pPr>
      <w:bookmarkStart w:id="158" w:name="a834179"/>
      <w:r>
        <w:t>to do all acts necessary to confirm that absolute title in all Intellectual Property Rights in the Works and the Inventions has passed, or will pass, to the Client.</w:t>
      </w:r>
      <w:bookmarkEnd w:id="158"/>
    </w:p>
    <w:p w14:paraId="0020458F" w14:textId="77777777" w:rsidR="00AB08A1" w:rsidRDefault="00AB08A1" w:rsidP="0068369A">
      <w:pPr>
        <w:pStyle w:val="Untitledsubclause1"/>
      </w:pPr>
      <w:bookmarkStart w:id="159" w:name="a104625"/>
      <w:r>
        <w:t>The Consultant warrants to the Client that:</w:t>
      </w:r>
      <w:bookmarkEnd w:id="159"/>
    </w:p>
    <w:p w14:paraId="00204590" w14:textId="77777777" w:rsidR="00AB08A1" w:rsidRDefault="00AB08A1" w:rsidP="0068369A">
      <w:pPr>
        <w:pStyle w:val="Untitledsubclause2"/>
      </w:pPr>
      <w:bookmarkStart w:id="160" w:name="a953924"/>
      <w:r>
        <w:t xml:space="preserve">they have not given and will not give permission to any third party to use any of the Works or the Inventions, nor any of the Intellectual Property Rights in the </w:t>
      </w:r>
      <w:proofErr w:type="gramStart"/>
      <w:r>
        <w:t>Works;</w:t>
      </w:r>
      <w:bookmarkEnd w:id="160"/>
      <w:proofErr w:type="gramEnd"/>
    </w:p>
    <w:p w14:paraId="00204591" w14:textId="77777777" w:rsidR="00AB08A1" w:rsidRDefault="00AB08A1" w:rsidP="0068369A">
      <w:pPr>
        <w:pStyle w:val="Untitledsubclause2"/>
      </w:pPr>
      <w:bookmarkStart w:id="161" w:name="a533493"/>
      <w:r>
        <w:t>they are unaware of any use by any third party of any of the Works or Intellectual Property Rights in the Works; and</w:t>
      </w:r>
      <w:bookmarkEnd w:id="161"/>
    </w:p>
    <w:p w14:paraId="00204592" w14:textId="77777777" w:rsidR="00AB08A1" w:rsidRDefault="00AB08A1" w:rsidP="0068369A">
      <w:pPr>
        <w:pStyle w:val="Untitledsubclause2"/>
      </w:pPr>
      <w:bookmarkStart w:id="162" w:name="a102447"/>
      <w:r>
        <w:t>the use of the Works or the Intellectual Property Rights in the Works by the Client will not infringe the rights of any third party.</w:t>
      </w:r>
      <w:bookmarkEnd w:id="162"/>
    </w:p>
    <w:p w14:paraId="00204593" w14:textId="77777777" w:rsidR="00AB08A1" w:rsidRDefault="00AB08A1" w:rsidP="0068369A">
      <w:pPr>
        <w:pStyle w:val="Untitledsubclause1"/>
      </w:pPr>
      <w:bookmarkStart w:id="163" w:name="a711988"/>
      <w:r>
        <w:t>The Consultant agrees to indemnify the Client and keep it indemnified at all times against all or any costs, claims, damages or expenses incurred by the Client, or for which the Client may become liable, with respect to any intellectual property infringement claim or other claim relating to the Works or Inventions supplied by the Consultant to the Client during the course of providing the Services. The Consultant shall maintain adequate liability insurance coverage and ensure that the Client's interest is n</w:t>
      </w:r>
      <w:r>
        <w:t xml:space="preserve">oted on the </w:t>
      </w:r>
      <w:proofErr w:type="gramStart"/>
      <w:r>
        <w:t>policy, and</w:t>
      </w:r>
      <w:proofErr w:type="gramEnd"/>
      <w:r>
        <w:t xml:space="preserve"> shall supply a copy of the policy to the Client on request. The Client may at its option satisfy this indemnity (in whole or in part) by way of deduction from any payments due to the Consultant.</w:t>
      </w:r>
      <w:bookmarkEnd w:id="163"/>
    </w:p>
    <w:p w14:paraId="00204594" w14:textId="77777777" w:rsidR="00AB08A1" w:rsidRDefault="00AB08A1" w:rsidP="0068369A">
      <w:pPr>
        <w:pStyle w:val="Untitledsubclause1"/>
      </w:pPr>
      <w:bookmarkStart w:id="164" w:name="a805924"/>
      <w:r>
        <w:t xml:space="preserve">The Consultant waives any moral rights in the Works to which they are now or may at any future time be entitled under Chapter IV of the Copyright Designs and Patents Act </w:t>
      </w:r>
      <w:r>
        <w:lastRenderedPageBreak/>
        <w:t>1988 or any similar provisions of law in any jurisdiction, including (but without limitation) the right to be identified, the right of integrity and the right against false attribution, and agrees not to institute, support, maintain or permit any action or claim to the effect that any treatment, exploitation or use of such Works or other materials infringes the Consultant's moral rights.</w:t>
      </w:r>
      <w:bookmarkEnd w:id="164"/>
    </w:p>
    <w:p w14:paraId="00204595" w14:textId="77777777" w:rsidR="00AB08A1" w:rsidRDefault="00AB08A1" w:rsidP="0068369A">
      <w:pPr>
        <w:pStyle w:val="Untitledsubclause1"/>
      </w:pPr>
      <w:bookmarkStart w:id="165" w:name="a755103"/>
      <w:r>
        <w:t xml:space="preserve">The Consultant acknowledges that, except as provided by law, no further fees or compensation other than those provided for in this agreement are due or may become due to the Consultant in respect of the performance of their obligations under this </w:t>
      </w:r>
      <w:r>
        <w:fldChar w:fldCharType="begin"/>
      </w:r>
      <w:r>
        <w:instrText>PAGEREF a584068\# "'clause '"  \h</w:instrText>
      </w:r>
      <w:r>
        <w:fldChar w:fldCharType="separate"/>
      </w:r>
      <w:r>
        <w:t xml:space="preserve">clause </w:t>
      </w:r>
      <w:r>
        <w:fldChar w:fldCharType="end"/>
      </w:r>
      <w:r>
        <w:fldChar w:fldCharType="begin"/>
      </w:r>
      <w:r>
        <w:rPr>
          <w:highlight w:val="lightGray"/>
        </w:rPr>
        <w:instrText>REF a584068 \h \w</w:instrText>
      </w:r>
      <w:r>
        <w:fldChar w:fldCharType="separate"/>
      </w:r>
      <w:r>
        <w:t>9</w:t>
      </w:r>
      <w:r>
        <w:fldChar w:fldCharType="end"/>
      </w:r>
      <w:r>
        <w:t>.</w:t>
      </w:r>
      <w:bookmarkEnd w:id="165"/>
    </w:p>
    <w:p w14:paraId="00204596" w14:textId="77777777" w:rsidR="00AB08A1" w:rsidRDefault="00AB08A1" w:rsidP="0068369A">
      <w:pPr>
        <w:pStyle w:val="Untitledsubclause1"/>
      </w:pPr>
      <w:bookmarkStart w:id="166" w:name="a350623"/>
      <w:r>
        <w:t xml:space="preserve">The Consultant undertakes, at the expense of the Client, at any time either during or after the Engagement, to execute all documents, make all applications, give all assistance and do all acts and things as may, in the opinion of the [Client </w:t>
      </w:r>
      <w:r>
        <w:rPr>
          <w:b/>
        </w:rPr>
        <w:t>OR</w:t>
      </w:r>
      <w:r>
        <w:t xml:space="preserve"> Board], be necessary or desirable to vest the Intellectual Property Rights in, and to register them in, the name of the Client and to defend the Client against claims that works embodying Intellectual Property Rights or Inventions infringe third party rights, and otherwise to protect and maintain the Intellectual Property Rights in the Works and the Inventions.</w:t>
      </w:r>
      <w:bookmarkEnd w:id="166"/>
    </w:p>
    <w:p w14:paraId="00204597" w14:textId="77777777" w:rsidR="00AB08A1" w:rsidRDefault="00AB08A1" w:rsidP="0068369A">
      <w:pPr>
        <w:pStyle w:val="Untitledsubclause1"/>
      </w:pPr>
      <w:bookmarkStart w:id="167" w:name="a335486"/>
      <w:r>
        <w:t>The Consultant irrevocably appoints the Client to be their attorney in their name and on their behalf to execute documents, use the Consultant's name and do all things which are necessary or desirable for the Client to obtain for itself or its nominee the full benefit of this clause.</w:t>
      </w:r>
      <w:bookmarkEnd w:id="167"/>
    </w:p>
    <w:p w14:paraId="00204598" w14:textId="77777777" w:rsidR="00AB08A1" w:rsidRDefault="00AB08A1" w:rsidP="0068369A">
      <w:pPr>
        <w:pStyle w:val="TitleClause"/>
      </w:pPr>
      <w:r>
        <w:fldChar w:fldCharType="begin"/>
      </w:r>
      <w:r>
        <w:instrText>TC "10. Insurance and liability" \l 1</w:instrText>
      </w:r>
      <w:r>
        <w:fldChar w:fldCharType="end"/>
      </w:r>
      <w:bookmarkStart w:id="168" w:name="_Toc256000009"/>
      <w:bookmarkStart w:id="169" w:name="a746572"/>
      <w:r>
        <w:t>Insurance and liability</w:t>
      </w:r>
      <w:bookmarkEnd w:id="168"/>
      <w:bookmarkEnd w:id="169"/>
    </w:p>
    <w:p w14:paraId="00204599" w14:textId="77777777" w:rsidR="00AB08A1" w:rsidRDefault="00AB08A1" w:rsidP="0068369A">
      <w:pPr>
        <w:pStyle w:val="Untitledsubclause1"/>
      </w:pPr>
      <w:bookmarkStart w:id="170" w:name="a908873"/>
      <w:r>
        <w:t xml:space="preserve">The Consultant shall have personal liability for and shall indemnify the Client [and any Group Company] for any loss, liability, costs (including reasonable legal costs), damages or expenses arising from [any breach by the Consultant [or a Substitute engaged by the Consultant] of the terms of this agreement including any negligent or reckless act, omission or default in] the provision of the Services and shall accordingly maintain in force during the Engagement full and comprehensive Insurance Policies. </w:t>
      </w:r>
      <w:bookmarkEnd w:id="170"/>
    </w:p>
    <w:p w14:paraId="0020459A" w14:textId="77777777" w:rsidR="00AB08A1" w:rsidRDefault="00AB08A1" w:rsidP="0068369A">
      <w:pPr>
        <w:pStyle w:val="Untitledsubclause1"/>
      </w:pPr>
      <w:bookmarkStart w:id="171" w:name="a955330"/>
      <w:r>
        <w:t>The Consultant shall ensure that the Insurance Policies are taken out with reputable insurers acceptable to the Client and that the level of cover and other terms of insurance are acceptable to and agreed by the Client.</w:t>
      </w:r>
      <w:bookmarkEnd w:id="171"/>
    </w:p>
    <w:p w14:paraId="0020459B" w14:textId="77777777" w:rsidR="00AB08A1" w:rsidRDefault="00AB08A1" w:rsidP="0068369A">
      <w:pPr>
        <w:pStyle w:val="Untitledsubclause1"/>
      </w:pPr>
      <w:bookmarkStart w:id="172" w:name="a739006"/>
      <w:r>
        <w:t>The Consultant shall on request supply to the Client copies of such Insurance Policies and evidence that the relevant premiums have been paid.</w:t>
      </w:r>
      <w:bookmarkEnd w:id="172"/>
    </w:p>
    <w:p w14:paraId="0020459C" w14:textId="77777777" w:rsidR="00AB08A1" w:rsidRDefault="00AB08A1" w:rsidP="0068369A">
      <w:pPr>
        <w:pStyle w:val="Untitledsubclause1"/>
      </w:pPr>
      <w:bookmarkStart w:id="173" w:name="a567660"/>
      <w:r>
        <w:t xml:space="preserve">The Consultant shall notify the insurers of the Client's interest and shall cause the interest to be noted on the Insurance Policies [together with a provision to the effect that, if any claim is brought or made by the Client against the Consultant in respect of which </w:t>
      </w:r>
      <w:r>
        <w:lastRenderedPageBreak/>
        <w:t>the Consultant would be entitled to receive indemnity under any of the Insurance Policies, the relevant insurer will indemnify the Client directly against such claim and any charges, costs and expenses in respect of such claim. If the relevant insurer does not so indemnify the Client, the Consultant shall use all insurance monies received by them to indemnify the Client in respect of any claim and shall make good any deficiency from their own resources].</w:t>
      </w:r>
      <w:bookmarkEnd w:id="173"/>
    </w:p>
    <w:p w14:paraId="0020459D" w14:textId="77777777" w:rsidR="00AB08A1" w:rsidRDefault="00AB08A1" w:rsidP="0068369A">
      <w:pPr>
        <w:pStyle w:val="Untitledsubclause1"/>
      </w:pPr>
      <w:bookmarkStart w:id="174" w:name="a929194"/>
      <w:r>
        <w:t xml:space="preserve">The Consultant shall </w:t>
      </w:r>
      <w:proofErr w:type="gramStart"/>
      <w:r>
        <w:t>comply with all terms and conditions of the Insurance Policies at all times</w:t>
      </w:r>
      <w:proofErr w:type="gramEnd"/>
      <w:r>
        <w:t>. If cover under the Insurance Policies shall lapse or not be renewed or be changed in any material way or if the Consultant is aware of any reason why the cover under the Insurance Policies may lapse or not be renewed or be changed in any material way, the Consultant shall notify the Client without delay.</w:t>
      </w:r>
      <w:bookmarkEnd w:id="174"/>
    </w:p>
    <w:p w14:paraId="0020459E" w14:textId="77777777" w:rsidR="00AB08A1" w:rsidRDefault="00AB08A1" w:rsidP="0068369A">
      <w:pPr>
        <w:pStyle w:val="TitleClause"/>
      </w:pPr>
      <w:r>
        <w:fldChar w:fldCharType="begin"/>
      </w:r>
      <w:r>
        <w:instrText>TC "11. Termination" \l 1</w:instrText>
      </w:r>
      <w:r>
        <w:fldChar w:fldCharType="end"/>
      </w:r>
      <w:bookmarkStart w:id="175" w:name="_Toc256000010"/>
      <w:bookmarkStart w:id="176" w:name="a293418"/>
      <w:r>
        <w:t>Termination</w:t>
      </w:r>
      <w:bookmarkEnd w:id="175"/>
      <w:bookmarkEnd w:id="176"/>
    </w:p>
    <w:p w14:paraId="0020459F" w14:textId="77777777" w:rsidR="00AB08A1" w:rsidRDefault="00AB08A1" w:rsidP="0068369A">
      <w:pPr>
        <w:pStyle w:val="Untitledsubclause1"/>
      </w:pPr>
      <w:bookmarkStart w:id="177" w:name="a555995"/>
      <w:r>
        <w:t xml:space="preserve">Notwithstanding the provisions of </w:t>
      </w:r>
      <w:r>
        <w:fldChar w:fldCharType="begin"/>
      </w:r>
      <w:r>
        <w:instrText>PAGEREF a590601\# "'clause '"  \h</w:instrText>
      </w:r>
      <w:r>
        <w:fldChar w:fldCharType="separate"/>
      </w:r>
      <w:r>
        <w:t xml:space="preserve">clause </w:t>
      </w:r>
      <w:r>
        <w:fldChar w:fldCharType="end"/>
      </w:r>
      <w:r>
        <w:fldChar w:fldCharType="begin"/>
      </w:r>
      <w:r>
        <w:rPr>
          <w:highlight w:val="lightGray"/>
        </w:rPr>
        <w:instrText>REF a590601 \h \w</w:instrText>
      </w:r>
      <w:r>
        <w:fldChar w:fldCharType="separate"/>
      </w:r>
      <w:r>
        <w:t>2.2</w:t>
      </w:r>
      <w:r>
        <w:fldChar w:fldCharType="end"/>
      </w:r>
      <w:r>
        <w:t>, the Client may terminate the Engagement with immediate effect with no liability to make any further payment to the Consultant (other than in respect of amounts accrued before the Termination Date) if at any time the Consultant:</w:t>
      </w:r>
      <w:bookmarkEnd w:id="177"/>
    </w:p>
    <w:p w14:paraId="002045A0" w14:textId="77777777" w:rsidR="00AB08A1" w:rsidRDefault="00AB08A1" w:rsidP="0068369A">
      <w:pPr>
        <w:pStyle w:val="Untitledsubclause2"/>
      </w:pPr>
      <w:bookmarkStart w:id="178" w:name="a656752"/>
      <w:r>
        <w:t>commits any gross misconduct affecting the Business of the Client [or any Group Company</w:t>
      </w:r>
      <w:proofErr w:type="gramStart"/>
      <w:r>
        <w:t>];</w:t>
      </w:r>
      <w:bookmarkEnd w:id="178"/>
      <w:proofErr w:type="gramEnd"/>
    </w:p>
    <w:p w14:paraId="002045A1" w14:textId="77777777" w:rsidR="00AB08A1" w:rsidRDefault="00AB08A1" w:rsidP="0068369A">
      <w:pPr>
        <w:pStyle w:val="Untitledsubclause2"/>
      </w:pPr>
      <w:bookmarkStart w:id="179" w:name="a704388"/>
      <w:r>
        <w:t xml:space="preserve">commits any serious or repeated breach or non-observance of any of the provisions of this agreement or refuses or </w:t>
      </w:r>
      <w:r>
        <w:t xml:space="preserve">neglects to comply with any reasonable and lawful directions of the </w:t>
      </w:r>
      <w:proofErr w:type="gramStart"/>
      <w:r>
        <w:t>Client;</w:t>
      </w:r>
      <w:bookmarkEnd w:id="179"/>
      <w:proofErr w:type="gramEnd"/>
    </w:p>
    <w:p w14:paraId="002045A2" w14:textId="77777777" w:rsidR="00AB08A1" w:rsidRDefault="00AB08A1" w:rsidP="0068369A">
      <w:pPr>
        <w:pStyle w:val="Untitledsubclause2"/>
      </w:pPr>
      <w:bookmarkStart w:id="180" w:name="a267292"/>
      <w:r>
        <w:t>is convicted of any criminal offence (other than an offence under any road traffic legislation in the United Kingdom or elsewhere for which a fine or non-custodial penalty is imposed</w:t>
      </w:r>
      <w:proofErr w:type="gramStart"/>
      <w:r>
        <w:t>);</w:t>
      </w:r>
      <w:bookmarkEnd w:id="180"/>
      <w:proofErr w:type="gramEnd"/>
    </w:p>
    <w:p w14:paraId="002045A3" w14:textId="77777777" w:rsidR="00AB08A1" w:rsidRDefault="00AB08A1" w:rsidP="0068369A">
      <w:pPr>
        <w:pStyle w:val="Untitledsubclause2"/>
      </w:pPr>
      <w:bookmarkStart w:id="181" w:name="a535362"/>
      <w:r>
        <w:t xml:space="preserve">is in the reasonable opinion of the Board negligent or incompetent in the performance of the </w:t>
      </w:r>
      <w:proofErr w:type="gramStart"/>
      <w:r>
        <w:t>Services;</w:t>
      </w:r>
      <w:bookmarkEnd w:id="181"/>
      <w:proofErr w:type="gramEnd"/>
    </w:p>
    <w:p w14:paraId="002045A4" w14:textId="77777777" w:rsidR="00AB08A1" w:rsidRDefault="00AB08A1" w:rsidP="0068369A">
      <w:pPr>
        <w:pStyle w:val="Untitledsubclause2"/>
      </w:pPr>
      <w:bookmarkStart w:id="182" w:name="a765156"/>
      <w:r>
        <w:t xml:space="preserve">is declared bankrupt or makes any arrangement with or for the benefit of their creditors or has a county court administration order made against them under the County Court Act </w:t>
      </w:r>
      <w:proofErr w:type="gramStart"/>
      <w:r>
        <w:t>1984;</w:t>
      </w:r>
      <w:bookmarkEnd w:id="182"/>
      <w:proofErr w:type="gramEnd"/>
    </w:p>
    <w:p w14:paraId="002045A5" w14:textId="77777777" w:rsidR="00AB08A1" w:rsidRDefault="00AB08A1" w:rsidP="0068369A">
      <w:pPr>
        <w:pStyle w:val="Untitledsubclause2"/>
      </w:pPr>
      <w:bookmarkStart w:id="183" w:name="a741623"/>
      <w:r>
        <w:t xml:space="preserve">dies or is incapacitated (including by reason of illness or accident) from providing the Services for an aggregate period of [NUMBER] days in any [52-week] consecutive </w:t>
      </w:r>
      <w:proofErr w:type="gramStart"/>
      <w:r>
        <w:t>period;</w:t>
      </w:r>
      <w:proofErr w:type="gramEnd"/>
      <w:r>
        <w:t xml:space="preserve"> </w:t>
      </w:r>
      <w:bookmarkEnd w:id="183"/>
    </w:p>
    <w:p w14:paraId="002045A6" w14:textId="77777777" w:rsidR="00AB08A1" w:rsidRDefault="00AB08A1" w:rsidP="0068369A">
      <w:pPr>
        <w:pStyle w:val="Untitledsubclause2"/>
      </w:pPr>
      <w:bookmarkStart w:id="184" w:name="a730147"/>
      <w:r>
        <w:t>commits any fraud or dishonesty or acts in any manner which in the opinion of the [Client</w:t>
      </w:r>
      <w:r>
        <w:rPr>
          <w:b/>
        </w:rPr>
        <w:t xml:space="preserve"> OR</w:t>
      </w:r>
      <w:r>
        <w:t xml:space="preserve"> Board] brings or is likely to bring the Consultant or the Client [or any Group Company] into disrepute or is materially </w:t>
      </w:r>
      <w:proofErr w:type="gramStart"/>
      <w:r>
        <w:t>adverse</w:t>
      </w:r>
      <w:proofErr w:type="gramEnd"/>
      <w:r>
        <w:t xml:space="preserve"> to the interests of the Client [or any Group Company</w:t>
      </w:r>
      <w:proofErr w:type="gramStart"/>
      <w:r>
        <w:t>];</w:t>
      </w:r>
      <w:bookmarkEnd w:id="184"/>
      <w:proofErr w:type="gramEnd"/>
    </w:p>
    <w:p w14:paraId="002045A7" w14:textId="77777777" w:rsidR="00AB08A1" w:rsidRDefault="00AB08A1" w:rsidP="0068369A">
      <w:pPr>
        <w:pStyle w:val="Untitledsubclause2"/>
      </w:pPr>
      <w:bookmarkStart w:id="185" w:name="a214024"/>
      <w:r>
        <w:t>commits any breach of the Client's policies and procedures; or</w:t>
      </w:r>
      <w:bookmarkEnd w:id="185"/>
    </w:p>
    <w:p w14:paraId="002045A8" w14:textId="77777777" w:rsidR="00AB08A1" w:rsidRDefault="00AB08A1" w:rsidP="0068369A">
      <w:pPr>
        <w:pStyle w:val="Untitledsubclause2"/>
      </w:pPr>
      <w:bookmarkStart w:id="186" w:name="a799916"/>
      <w:r>
        <w:lastRenderedPageBreak/>
        <w:t xml:space="preserve">fails to comply with their obligations under </w:t>
      </w:r>
      <w:r>
        <w:fldChar w:fldCharType="begin"/>
      </w:r>
      <w:r>
        <w:instrText>PAGEREF a140853\# "'clause '"  \h</w:instrText>
      </w:r>
      <w:r>
        <w:fldChar w:fldCharType="separate"/>
      </w:r>
      <w:r>
        <w:t xml:space="preserve">clause </w:t>
      </w:r>
      <w:r>
        <w:fldChar w:fldCharType="end"/>
      </w:r>
      <w:r>
        <w:fldChar w:fldCharType="begin"/>
      </w:r>
      <w:r>
        <w:rPr>
          <w:highlight w:val="lightGray"/>
        </w:rPr>
        <w:instrText>REF a140853 \h \w</w:instrText>
      </w:r>
      <w:r>
        <w:fldChar w:fldCharType="separate"/>
      </w:r>
      <w:r>
        <w:t>3.11</w:t>
      </w:r>
      <w:r>
        <w:fldChar w:fldCharType="end"/>
      </w:r>
      <w:r>
        <w:t xml:space="preserve">, </w:t>
      </w:r>
      <w:r>
        <w:fldChar w:fldCharType="begin"/>
      </w:r>
      <w:r>
        <w:instrText>PAGEREF a257477\# "'clause '"  \h</w:instrText>
      </w:r>
      <w:r>
        <w:fldChar w:fldCharType="separate"/>
      </w:r>
      <w:r>
        <w:t xml:space="preserve">clause </w:t>
      </w:r>
      <w:r>
        <w:fldChar w:fldCharType="end"/>
      </w:r>
      <w:r>
        <w:fldChar w:fldCharType="begin"/>
      </w:r>
      <w:r>
        <w:rPr>
          <w:highlight w:val="lightGray"/>
        </w:rPr>
        <w:instrText>REF a257477 \h \w</w:instrText>
      </w:r>
      <w:r>
        <w:fldChar w:fldCharType="separate"/>
      </w:r>
      <w:r>
        <w:t>3.12</w:t>
      </w:r>
      <w:r>
        <w:fldChar w:fldCharType="end"/>
      </w:r>
      <w:r>
        <w:t xml:space="preserve"> or </w:t>
      </w:r>
      <w:r>
        <w:fldChar w:fldCharType="begin"/>
      </w:r>
      <w:r>
        <w:instrText>PAGEREF a771311\# "'clause '"  \h</w:instrText>
      </w:r>
      <w:r>
        <w:fldChar w:fldCharType="separate"/>
      </w:r>
      <w:r>
        <w:t xml:space="preserve">clause </w:t>
      </w:r>
      <w:r>
        <w:fldChar w:fldCharType="end"/>
      </w:r>
      <w:r>
        <w:fldChar w:fldCharType="begin"/>
      </w:r>
      <w:r>
        <w:rPr>
          <w:highlight w:val="lightGray"/>
        </w:rPr>
        <w:instrText>REF a771311 \h \w</w:instrText>
      </w:r>
      <w:r>
        <w:fldChar w:fldCharType="separate"/>
      </w:r>
      <w:r>
        <w:t>3.13</w:t>
      </w:r>
      <w:r>
        <w:fldChar w:fldCharType="end"/>
      </w:r>
      <w:r>
        <w:t>.</w:t>
      </w:r>
      <w:bookmarkEnd w:id="186"/>
    </w:p>
    <w:p w14:paraId="002045A9" w14:textId="77777777" w:rsidR="00AB08A1" w:rsidRDefault="00AB08A1" w:rsidP="0068369A">
      <w:pPr>
        <w:pStyle w:val="Untitledsubclause1"/>
      </w:pPr>
      <w:bookmarkStart w:id="187" w:name="a868828"/>
      <w:r>
        <w:t xml:space="preserve">The rights of the Client under </w:t>
      </w:r>
      <w:r>
        <w:fldChar w:fldCharType="begin"/>
      </w:r>
      <w:r>
        <w:instrText>PAGEREF a555995\# "'clause '"  \h</w:instrText>
      </w:r>
      <w:r>
        <w:fldChar w:fldCharType="separate"/>
      </w:r>
      <w:r>
        <w:t xml:space="preserve">clause </w:t>
      </w:r>
      <w:r>
        <w:fldChar w:fldCharType="end"/>
      </w:r>
      <w:r>
        <w:fldChar w:fldCharType="begin"/>
      </w:r>
      <w:r>
        <w:rPr>
          <w:highlight w:val="lightGray"/>
        </w:rPr>
        <w:instrText>REF a555995 \h \w</w:instrText>
      </w:r>
      <w:r>
        <w:fldChar w:fldCharType="separate"/>
      </w:r>
      <w:r>
        <w:t>11.1</w:t>
      </w:r>
      <w:r>
        <w:fldChar w:fldCharType="end"/>
      </w:r>
      <w:r>
        <w:t xml:space="preserve"> are without prejudice to any other rights that it might have at law to terminate the Engagement or to accept any breach of this agreement on the part of the Consultant as having brought the agreement to an end. Any delay by the Client in exercising its rights to terminate shall not constitute a waiver of these rights.</w:t>
      </w:r>
      <w:bookmarkEnd w:id="187"/>
    </w:p>
    <w:p w14:paraId="002045AA" w14:textId="77777777" w:rsidR="00AB08A1" w:rsidRDefault="00AB08A1" w:rsidP="0068369A">
      <w:pPr>
        <w:pStyle w:val="TitleClause"/>
      </w:pPr>
      <w:r>
        <w:fldChar w:fldCharType="begin"/>
      </w:r>
      <w:r>
        <w:instrText>TC "12. Obligations on termination" \l 1</w:instrText>
      </w:r>
      <w:r>
        <w:fldChar w:fldCharType="end"/>
      </w:r>
      <w:bookmarkStart w:id="188" w:name="_Toc256000011"/>
      <w:bookmarkStart w:id="189" w:name="a966516"/>
      <w:r>
        <w:t>Obligations on termination</w:t>
      </w:r>
      <w:bookmarkEnd w:id="188"/>
      <w:bookmarkEnd w:id="189"/>
    </w:p>
    <w:p w14:paraId="002045AB" w14:textId="77777777" w:rsidR="00AB08A1" w:rsidRDefault="00AB08A1" w:rsidP="0068369A">
      <w:pPr>
        <w:pStyle w:val="NoNumUntitledsubclause1"/>
      </w:pPr>
      <w:bookmarkStart w:id="190" w:name="a975998"/>
      <w:r>
        <w:t xml:space="preserve">[Without prejudice to the Consultant's obligations under </w:t>
      </w:r>
      <w:r>
        <w:fldChar w:fldCharType="begin"/>
      </w:r>
      <w:r>
        <w:instrText>PAGEREF a504848\# "'clause '"  \h</w:instrText>
      </w:r>
      <w:r>
        <w:fldChar w:fldCharType="separate"/>
      </w:r>
      <w:r>
        <w:t xml:space="preserve">clause </w:t>
      </w:r>
      <w:r>
        <w:fldChar w:fldCharType="end"/>
      </w:r>
      <w:r>
        <w:fldChar w:fldCharType="begin"/>
      </w:r>
      <w:r>
        <w:rPr>
          <w:highlight w:val="lightGray"/>
        </w:rPr>
        <w:instrText>REF a504848 \h \w</w:instrText>
      </w:r>
      <w:r>
        <w:fldChar w:fldCharType="separate"/>
      </w:r>
      <w:r>
        <w:t>7</w:t>
      </w:r>
      <w:r>
        <w:fldChar w:fldCharType="end"/>
      </w:r>
      <w:r>
        <w:t xml:space="preserve">, on </w:t>
      </w:r>
      <w:r>
        <w:rPr>
          <w:b/>
          <w:bCs/>
        </w:rPr>
        <w:t>OR</w:t>
      </w:r>
      <w:r>
        <w:t xml:space="preserve"> On] the Termination Date, the Consultant shall [and shall procure that any Substitute shall]:</w:t>
      </w:r>
      <w:bookmarkEnd w:id="190"/>
    </w:p>
    <w:p w14:paraId="002045AC" w14:textId="77777777" w:rsidR="00AB08A1" w:rsidRDefault="00AB08A1" w:rsidP="0068369A">
      <w:pPr>
        <w:pStyle w:val="Untitledsubclause2"/>
      </w:pPr>
      <w:bookmarkStart w:id="191" w:name="a323427"/>
      <w:r>
        <w:t xml:space="preserve">immediately deliver to the Client all Client Property in their possession or under their </w:t>
      </w:r>
      <w:proofErr w:type="gramStart"/>
      <w:r>
        <w:t>control;</w:t>
      </w:r>
      <w:bookmarkEnd w:id="191"/>
      <w:proofErr w:type="gramEnd"/>
    </w:p>
    <w:p w14:paraId="002045AD" w14:textId="77777777" w:rsidR="00AB08A1" w:rsidRDefault="00AB08A1" w:rsidP="0068369A">
      <w:pPr>
        <w:pStyle w:val="Untitledsubclause2"/>
      </w:pPr>
      <w:bookmarkStart w:id="192" w:name="a594616"/>
      <w:r>
        <w:t>subject to the Client's data retention guidelines, irretrievably delete any information relating to the Business of the Client [or any Group Company] stored on any magnetic or optical disk or memory and all matter derived from such sources which is in their possession or under their control outside the premises of the Client; and</w:t>
      </w:r>
      <w:bookmarkEnd w:id="192"/>
    </w:p>
    <w:p w14:paraId="002045AE" w14:textId="77777777" w:rsidR="00AB08A1" w:rsidRDefault="00AB08A1" w:rsidP="0068369A">
      <w:pPr>
        <w:pStyle w:val="Untitledsubclause2"/>
      </w:pPr>
      <w:bookmarkStart w:id="193" w:name="a953496"/>
      <w:r>
        <w:t xml:space="preserve">provide a signed statement that they have complied fully with their obligations under this </w:t>
      </w:r>
      <w:r>
        <w:fldChar w:fldCharType="begin"/>
      </w:r>
      <w:r>
        <w:instrText>PAGEREF a966516\# "'clause '"  \h</w:instrText>
      </w:r>
      <w:r>
        <w:fldChar w:fldCharType="separate"/>
      </w:r>
      <w:r>
        <w:t xml:space="preserve">clause </w:t>
      </w:r>
      <w:r>
        <w:fldChar w:fldCharType="end"/>
      </w:r>
      <w:r>
        <w:fldChar w:fldCharType="begin"/>
      </w:r>
      <w:r>
        <w:rPr>
          <w:highlight w:val="lightGray"/>
        </w:rPr>
        <w:instrText>REF a966516 \h \w</w:instrText>
      </w:r>
      <w:r>
        <w:fldChar w:fldCharType="separate"/>
      </w:r>
      <w:r>
        <w:t>12</w:t>
      </w:r>
      <w:r>
        <w:fldChar w:fldCharType="end"/>
      </w:r>
      <w:r>
        <w:t xml:space="preserve">, together with such evidence of compliance as the Client may reasonably request. </w:t>
      </w:r>
      <w:bookmarkEnd w:id="193"/>
    </w:p>
    <w:p w14:paraId="002045AF" w14:textId="77777777" w:rsidR="00AB08A1" w:rsidRDefault="00AB08A1" w:rsidP="0068369A">
      <w:pPr>
        <w:pStyle w:val="TitleClause"/>
      </w:pPr>
      <w:r>
        <w:fldChar w:fldCharType="begin"/>
      </w:r>
      <w:r>
        <w:instrText>TC "13. Status" \l 1</w:instrText>
      </w:r>
      <w:r>
        <w:fldChar w:fldCharType="end"/>
      </w:r>
      <w:bookmarkStart w:id="194" w:name="_Toc256000012"/>
      <w:bookmarkStart w:id="195" w:name="a308981"/>
      <w:r>
        <w:t>Status</w:t>
      </w:r>
      <w:bookmarkEnd w:id="194"/>
      <w:r>
        <w:t xml:space="preserve"> </w:t>
      </w:r>
      <w:bookmarkEnd w:id="195"/>
    </w:p>
    <w:p w14:paraId="002045B0" w14:textId="77777777" w:rsidR="00AB08A1" w:rsidRDefault="00AB08A1" w:rsidP="0068369A">
      <w:pPr>
        <w:pStyle w:val="Untitledsubclause1"/>
      </w:pPr>
      <w:bookmarkStart w:id="196" w:name="a805401"/>
      <w:r>
        <w:t xml:space="preserve">The relationship of the Consultant to the Client will be that of independent contractor and nothing in this agreement shall render them an employee, </w:t>
      </w:r>
      <w:r>
        <w:t>worker, agent or partner of the Client and the Consultant shall not hold themselves out as such.</w:t>
      </w:r>
      <w:bookmarkEnd w:id="196"/>
    </w:p>
    <w:p w14:paraId="002045B1" w14:textId="77777777" w:rsidR="00AB08A1" w:rsidRDefault="00AB08A1" w:rsidP="0068369A">
      <w:pPr>
        <w:pStyle w:val="Untitledsubclause1"/>
      </w:pPr>
      <w:bookmarkStart w:id="197" w:name="a964123"/>
      <w:r>
        <w:t>This agreement constitutes a contract for the provision of services and not a contract of employment and accordingly the Consultant shall be fully responsible for and shall indemnify the Client [or any Group Company] for and in respect of:</w:t>
      </w:r>
      <w:bookmarkEnd w:id="197"/>
    </w:p>
    <w:p w14:paraId="002045B2" w14:textId="77777777" w:rsidR="00AB08A1" w:rsidRDefault="00AB08A1" w:rsidP="0068369A">
      <w:pPr>
        <w:pStyle w:val="Untitledsubclause2"/>
      </w:pPr>
      <w:bookmarkStart w:id="198" w:name="a834572"/>
      <w:r>
        <w:t xml:space="preserve">any income tax, National Insurance and social security contributions and any other liability, deduction, contribution, assessment or claim arising from or made in </w:t>
      </w:r>
      <w:r>
        <w:t>connection with the performance of the Services, where the recovery is not prohibited by law. The Consultant shall further indemnify the Client against all reasonable costs, expenses and any penalty, fine or interest incurred or payable by the Client in connection with or in consequence of any such liability, deduction, contribution, assessment or claim [other than where the latter arise out of the Client's negligence or wilful default]; and</w:t>
      </w:r>
      <w:bookmarkEnd w:id="198"/>
    </w:p>
    <w:p w14:paraId="002045B3" w14:textId="77777777" w:rsidR="00AB08A1" w:rsidRPr="000A3A58" w:rsidRDefault="00AB08A1" w:rsidP="0068369A">
      <w:pPr>
        <w:pStyle w:val="Untitledsubclause2"/>
      </w:pPr>
      <w:bookmarkStart w:id="199" w:name="a253339"/>
      <w:r>
        <w:lastRenderedPageBreak/>
        <w:t xml:space="preserve">any liability arising from any employment-related claim or any claim based on worker status (including reasonable costs and expenses) brought by the Consultant or any Substitute against the Client arising out of or in connection with the provision of the Services, except where such claim is </w:t>
      </w:r>
      <w:proofErr w:type="gramStart"/>
      <w:r>
        <w:t>as a result of</w:t>
      </w:r>
      <w:proofErr w:type="gramEnd"/>
      <w:r>
        <w:t xml:space="preserve"> any act or omission of the Client.</w:t>
      </w:r>
      <w:bookmarkEnd w:id="199"/>
    </w:p>
    <w:p w14:paraId="002045B4" w14:textId="77777777" w:rsidR="00AB08A1" w:rsidRDefault="00AB08A1" w:rsidP="0068369A">
      <w:pPr>
        <w:pStyle w:val="Untitledsubclause1"/>
      </w:pPr>
      <w:bookmarkStart w:id="200" w:name="a224298"/>
      <w:r>
        <w:t>The Client may at its option satisfy such indemnity (in whole or in part) by way of deduction from any payments due to the Consultant.</w:t>
      </w:r>
      <w:bookmarkEnd w:id="200"/>
    </w:p>
    <w:p w14:paraId="002045B5" w14:textId="77777777" w:rsidR="00AB08A1" w:rsidRDefault="00AB08A1" w:rsidP="0068369A">
      <w:pPr>
        <w:pStyle w:val="TitleClause"/>
      </w:pPr>
      <w:r>
        <w:fldChar w:fldCharType="begin"/>
      </w:r>
      <w:r>
        <w:instrText>TC "14. Notices" \l 1</w:instrText>
      </w:r>
      <w:r>
        <w:fldChar w:fldCharType="end"/>
      </w:r>
      <w:bookmarkStart w:id="201" w:name="_Toc256000013"/>
      <w:bookmarkStart w:id="202" w:name="a258246"/>
      <w:r>
        <w:t>Notices</w:t>
      </w:r>
      <w:bookmarkEnd w:id="201"/>
      <w:bookmarkEnd w:id="202"/>
    </w:p>
    <w:p w14:paraId="002045B6" w14:textId="77777777" w:rsidR="00AB08A1" w:rsidRDefault="00AB08A1" w:rsidP="0068369A">
      <w:pPr>
        <w:pStyle w:val="Untitledsubclause1"/>
      </w:pPr>
      <w:bookmarkStart w:id="203" w:name="a616511"/>
      <w:r>
        <w:t>Any notice given to a party under or in connection with this agreement shall be in writing and shall be:</w:t>
      </w:r>
      <w:bookmarkEnd w:id="203"/>
    </w:p>
    <w:p w14:paraId="002045B7" w14:textId="77777777" w:rsidR="00AB08A1" w:rsidRDefault="00AB08A1" w:rsidP="0068369A">
      <w:pPr>
        <w:pStyle w:val="Untitledsubclause2"/>
      </w:pPr>
      <w:bookmarkStart w:id="204" w:name="a266735"/>
      <w:r>
        <w:t>delivered by hand or by pre-paid first-class post or other next working day delivery service at the address given in this agreement or as otherwise notified in writing to the other party</w:t>
      </w:r>
      <w:proofErr w:type="gramStart"/>
      <w:r>
        <w:t>[.][</w:t>
      </w:r>
      <w:proofErr w:type="gramEnd"/>
      <w:r>
        <w:t>; or]</w:t>
      </w:r>
      <w:bookmarkEnd w:id="204"/>
    </w:p>
    <w:p w14:paraId="002045B8" w14:textId="77777777" w:rsidR="00AB08A1" w:rsidRDefault="00AB08A1" w:rsidP="0068369A">
      <w:pPr>
        <w:pStyle w:val="Untitledsubclause2"/>
      </w:pPr>
      <w:bookmarkStart w:id="205" w:name="a782067"/>
      <w:r>
        <w:t>[sent by email to the following addresses (or an address substituted in writing by the party to be served):</w:t>
      </w:r>
      <w:bookmarkEnd w:id="205"/>
    </w:p>
    <w:p w14:paraId="002045B9" w14:textId="77777777" w:rsidR="00AB08A1" w:rsidRDefault="00AB08A1" w:rsidP="0068369A">
      <w:pPr>
        <w:pStyle w:val="Untitledsubclause3"/>
      </w:pPr>
      <w:bookmarkStart w:id="206" w:name="a958469"/>
      <w:r>
        <w:t>Client: [ADDRESS].</w:t>
      </w:r>
      <w:bookmarkEnd w:id="206"/>
    </w:p>
    <w:p w14:paraId="002045BA" w14:textId="77777777" w:rsidR="00AB08A1" w:rsidRDefault="00AB08A1" w:rsidP="0068369A">
      <w:pPr>
        <w:pStyle w:val="Untitledsubclause3"/>
      </w:pPr>
      <w:bookmarkStart w:id="207" w:name="a472111"/>
      <w:r>
        <w:t>Consultant: [ADDRESS].]</w:t>
      </w:r>
      <w:bookmarkEnd w:id="207"/>
    </w:p>
    <w:p w14:paraId="002045BB" w14:textId="77777777" w:rsidR="00AB08A1" w:rsidRDefault="00AB08A1" w:rsidP="0068369A">
      <w:pPr>
        <w:pStyle w:val="Untitledsubclause1"/>
      </w:pPr>
      <w:bookmarkStart w:id="208" w:name="a172343"/>
      <w:r>
        <w:t>Unless proven otherwise, any notice shall be deemed to have been received:</w:t>
      </w:r>
      <w:bookmarkEnd w:id="208"/>
    </w:p>
    <w:p w14:paraId="002045BC" w14:textId="77777777" w:rsidR="00AB08A1" w:rsidRDefault="00AB08A1" w:rsidP="0068369A">
      <w:pPr>
        <w:pStyle w:val="Untitledsubclause2"/>
      </w:pPr>
      <w:bookmarkStart w:id="209" w:name="a195273"/>
      <w:r>
        <w:t>if delivered by hand, at the time the notice is left at the address given in this agreement or given to the addressee[</w:t>
      </w:r>
      <w:proofErr w:type="gramStart"/>
      <w:r>
        <w:t>;][</w:t>
      </w:r>
      <w:proofErr w:type="gramEnd"/>
      <w:r>
        <w:t>or]</w:t>
      </w:r>
      <w:bookmarkEnd w:id="209"/>
    </w:p>
    <w:p w14:paraId="002045BD" w14:textId="77777777" w:rsidR="00AB08A1" w:rsidRDefault="00AB08A1" w:rsidP="0068369A">
      <w:pPr>
        <w:pStyle w:val="Untitledsubclause2"/>
      </w:pPr>
      <w:bookmarkStart w:id="210" w:name="a529676"/>
      <w:r>
        <w:t>if sent by [pre-paid first-class post or other] next working day delivery service, at [9.00] am on the [second] Business Day after posting</w:t>
      </w:r>
      <w:proofErr w:type="gramStart"/>
      <w:r>
        <w:t>[.][</w:t>
      </w:r>
      <w:proofErr w:type="gramEnd"/>
      <w:r>
        <w:t>; or]</w:t>
      </w:r>
      <w:bookmarkEnd w:id="210"/>
    </w:p>
    <w:p w14:paraId="002045BE" w14:textId="77777777" w:rsidR="00AB08A1" w:rsidRDefault="00AB08A1" w:rsidP="0068369A">
      <w:pPr>
        <w:pStyle w:val="Untitledsubclause2"/>
      </w:pPr>
      <w:bookmarkStart w:id="211" w:name="a786446"/>
      <w:r>
        <w:t>[if sent by email, at the time of transmission.</w:t>
      </w:r>
      <w:r>
        <w:fldChar w:fldCharType="begin"/>
      </w:r>
      <w:r>
        <w:fldChar w:fldCharType="end"/>
      </w:r>
      <w:r>
        <w:t>]</w:t>
      </w:r>
      <w:bookmarkEnd w:id="211"/>
    </w:p>
    <w:p w14:paraId="002045BF" w14:textId="77777777" w:rsidR="00AB08A1" w:rsidRPr="00C218F9" w:rsidRDefault="00AB08A1" w:rsidP="0068369A">
      <w:pPr>
        <w:pStyle w:val="Untitledsubclause1"/>
      </w:pPr>
      <w:bookmarkStart w:id="212" w:name="a277426"/>
      <w:r>
        <w:t xml:space="preserve">If deemed receipt under </w:t>
      </w:r>
      <w:r>
        <w:fldChar w:fldCharType="begin"/>
      </w:r>
      <w:r>
        <w:instrText>PAGEREF a172343\# "'clause '"  \h</w:instrText>
      </w:r>
      <w:r>
        <w:fldChar w:fldCharType="separate"/>
      </w:r>
      <w:r>
        <w:t xml:space="preserve">clause </w:t>
      </w:r>
      <w:r>
        <w:fldChar w:fldCharType="end"/>
      </w:r>
      <w:r>
        <w:fldChar w:fldCharType="begin"/>
      </w:r>
      <w:r>
        <w:rPr>
          <w:highlight w:val="lightGray"/>
        </w:rPr>
        <w:instrText>REF a172343 \h \w</w:instrText>
      </w:r>
      <w:r>
        <w:fldChar w:fldCharType="separate"/>
      </w:r>
      <w:r>
        <w:t>14.2</w:t>
      </w:r>
      <w:r>
        <w:fldChar w:fldCharType="end"/>
      </w:r>
      <w:r>
        <w:t xml:space="preserve"> would occur outside business hours in the place of receipt, it shall be deferred until business hours resume. In this </w:t>
      </w:r>
      <w:r>
        <w:fldChar w:fldCharType="begin"/>
      </w:r>
      <w:r>
        <w:instrText>PAGEREF a277426\# "'clause '"  \h</w:instrText>
      </w:r>
      <w:r>
        <w:fldChar w:fldCharType="separate"/>
      </w:r>
      <w:r>
        <w:t xml:space="preserve">clause </w:t>
      </w:r>
      <w:r>
        <w:fldChar w:fldCharType="end"/>
      </w:r>
      <w:r>
        <w:fldChar w:fldCharType="begin"/>
      </w:r>
      <w:r>
        <w:rPr>
          <w:highlight w:val="lightGray"/>
        </w:rPr>
        <w:instrText>REF a277426 \h \w</w:instrText>
      </w:r>
      <w:r>
        <w:fldChar w:fldCharType="separate"/>
      </w:r>
      <w:r>
        <w:t>14.3</w:t>
      </w:r>
      <w:r>
        <w:fldChar w:fldCharType="end"/>
      </w:r>
      <w:r>
        <w:t>, business hours means 9.00am to 5.00pm Monday to Friday on a day that is not a public holiday in the place of receipt.</w:t>
      </w:r>
      <w:bookmarkEnd w:id="212"/>
    </w:p>
    <w:p w14:paraId="002045C0" w14:textId="77777777" w:rsidR="00AB08A1" w:rsidRDefault="00AB08A1" w:rsidP="0068369A">
      <w:pPr>
        <w:pStyle w:val="Untitledsubclause1"/>
      </w:pPr>
      <w:bookmarkStart w:id="213" w:name="a400235"/>
      <w:r>
        <w:t>This clause does not apply to the service of any proceedings or other documents in any legal action or, where applicable, any other method of dispute resolution.</w:t>
      </w:r>
      <w:bookmarkEnd w:id="213"/>
    </w:p>
    <w:p w14:paraId="002045C1" w14:textId="77777777" w:rsidR="00AB08A1" w:rsidRDefault="00AB08A1" w:rsidP="0068369A">
      <w:pPr>
        <w:pStyle w:val="TitleClause"/>
      </w:pPr>
      <w:r>
        <w:fldChar w:fldCharType="begin"/>
      </w:r>
      <w:r>
        <w:instrText>TC "15. Entire agreement" \l 1</w:instrText>
      </w:r>
      <w:r>
        <w:fldChar w:fldCharType="end"/>
      </w:r>
      <w:bookmarkStart w:id="214" w:name="_Toc256000014"/>
      <w:bookmarkStart w:id="215" w:name="a998129"/>
      <w:r>
        <w:t>Entire agreement</w:t>
      </w:r>
      <w:bookmarkEnd w:id="214"/>
      <w:bookmarkEnd w:id="215"/>
    </w:p>
    <w:p w14:paraId="002045C2" w14:textId="77777777" w:rsidR="00AB08A1" w:rsidRDefault="00AB08A1" w:rsidP="0068369A">
      <w:pPr>
        <w:pStyle w:val="Untitledsubclause1"/>
      </w:pPr>
      <w:bookmarkStart w:id="216" w:name="a970363"/>
      <w:r>
        <w:t xml:space="preserve">This agreement constitutes the entire agreement between the parties [and any Group Company] and supersedes and extinguishes all previous and contemporaneous </w:t>
      </w:r>
      <w:r>
        <w:lastRenderedPageBreak/>
        <w:t>agreements, promises, assurances and understandings between them, whether written or oral, relating to its subject matter.</w:t>
      </w:r>
      <w:bookmarkEnd w:id="216"/>
    </w:p>
    <w:p w14:paraId="002045C3" w14:textId="77777777" w:rsidR="00AB08A1" w:rsidRDefault="00AB08A1" w:rsidP="0068369A">
      <w:pPr>
        <w:pStyle w:val="Untitledsubclause1"/>
      </w:pPr>
      <w:bookmarkStart w:id="217" w:name="a175777"/>
      <w:r>
        <w:t xml:space="preserve">Each party acknowledges that in entering into this agreement it does not rely </w:t>
      </w:r>
      <w:proofErr w:type="gramStart"/>
      <w:r>
        <w:t>on[</w:t>
      </w:r>
      <w:proofErr w:type="gramEnd"/>
      <w:r>
        <w:t>, and shall have no remedies in respect of,] any statement, representation, assurance or warranty (whether made innocently or negligently) that is not set out in this agreement.</w:t>
      </w:r>
      <w:bookmarkEnd w:id="217"/>
    </w:p>
    <w:p w14:paraId="002045C4" w14:textId="77777777" w:rsidR="00AB08A1" w:rsidRDefault="00AB08A1" w:rsidP="0068369A">
      <w:pPr>
        <w:pStyle w:val="Untitledsubclause1"/>
      </w:pPr>
      <w:bookmarkStart w:id="218" w:name="a641078"/>
      <w:r>
        <w:t>Each party agrees that it shall have no claim for innocent or negligent misrepresentation [or negligent misstatement] based on any statement in this agreement.</w:t>
      </w:r>
      <w:bookmarkEnd w:id="218"/>
    </w:p>
    <w:p w14:paraId="002045C5" w14:textId="77777777" w:rsidR="00AB08A1" w:rsidRDefault="00AB08A1" w:rsidP="0068369A">
      <w:pPr>
        <w:pStyle w:val="TitleClause"/>
      </w:pPr>
      <w:r>
        <w:fldChar w:fldCharType="begin"/>
      </w:r>
      <w:r>
        <w:instrText>TC "16. Variation" \l 1</w:instrText>
      </w:r>
      <w:r>
        <w:fldChar w:fldCharType="end"/>
      </w:r>
      <w:bookmarkStart w:id="219" w:name="_Toc256000015"/>
      <w:bookmarkStart w:id="220" w:name="a864294"/>
      <w:r>
        <w:t>Variation</w:t>
      </w:r>
      <w:bookmarkEnd w:id="219"/>
      <w:r>
        <w:t xml:space="preserve"> </w:t>
      </w:r>
      <w:bookmarkEnd w:id="220"/>
    </w:p>
    <w:p w14:paraId="002045C6" w14:textId="77777777" w:rsidR="00AB08A1" w:rsidRDefault="00AB08A1" w:rsidP="0068369A">
      <w:pPr>
        <w:pStyle w:val="NoNumUntitledsubclause1"/>
      </w:pPr>
      <w:bookmarkStart w:id="221" w:name="a327630"/>
      <w:r>
        <w:t>No variation of this agreement [or of any of the documents referred to in it] shall be effective unless it is in writing and signed by the parties (or their authorised representatives).</w:t>
      </w:r>
      <w:bookmarkEnd w:id="221"/>
    </w:p>
    <w:p w14:paraId="002045C7" w14:textId="77777777" w:rsidR="00AB08A1" w:rsidRDefault="00AB08A1" w:rsidP="0068369A">
      <w:pPr>
        <w:pStyle w:val="TitleClause"/>
      </w:pPr>
      <w:r>
        <w:fldChar w:fldCharType="begin"/>
      </w:r>
      <w:r>
        <w:instrText>TC "17. Counterparts" \l 1</w:instrText>
      </w:r>
      <w:r>
        <w:fldChar w:fldCharType="end"/>
      </w:r>
      <w:bookmarkStart w:id="222" w:name="_Toc256000016"/>
      <w:bookmarkStart w:id="223" w:name="a877743"/>
      <w:r>
        <w:t>Counterparts</w:t>
      </w:r>
      <w:bookmarkEnd w:id="222"/>
      <w:bookmarkEnd w:id="223"/>
    </w:p>
    <w:p w14:paraId="002045C8" w14:textId="77777777" w:rsidR="00AB08A1" w:rsidRDefault="00AB08A1" w:rsidP="0068369A">
      <w:pPr>
        <w:pStyle w:val="Untitledsubclause1"/>
      </w:pPr>
      <w:bookmarkStart w:id="224" w:name="a935661"/>
      <w:r>
        <w:t>This agreement may be executed in any number of counterparts, each of which constitutes a duplicate original, but all the counterparts together constitute the one agreement.</w:t>
      </w:r>
      <w:bookmarkEnd w:id="224"/>
    </w:p>
    <w:p w14:paraId="002045C9" w14:textId="77777777" w:rsidR="00AB08A1" w:rsidRDefault="00AB08A1" w:rsidP="0068369A">
      <w:pPr>
        <w:pStyle w:val="Untitledsubclause1"/>
      </w:pPr>
      <w:bookmarkStart w:id="225" w:name="a541239"/>
      <w:r>
        <w:t>[No counterpart shall be effective until each party has delivered to the other at least one executed counterpart.]</w:t>
      </w:r>
      <w:bookmarkEnd w:id="225"/>
    </w:p>
    <w:p w14:paraId="002045CA" w14:textId="77777777" w:rsidR="00AB08A1" w:rsidRDefault="00AB08A1" w:rsidP="0068369A">
      <w:pPr>
        <w:pStyle w:val="TitleClause"/>
      </w:pPr>
      <w:r>
        <w:fldChar w:fldCharType="begin"/>
      </w:r>
      <w:r>
        <w:instrText>TC "18. Third party rights" \l 1</w:instrText>
      </w:r>
      <w:r>
        <w:fldChar w:fldCharType="end"/>
      </w:r>
      <w:bookmarkStart w:id="226" w:name="_Toc256000017"/>
      <w:bookmarkStart w:id="227" w:name="a986020"/>
      <w:r>
        <w:t>Third party rights</w:t>
      </w:r>
      <w:bookmarkEnd w:id="226"/>
      <w:bookmarkEnd w:id="227"/>
    </w:p>
    <w:p w14:paraId="002045CB" w14:textId="77777777" w:rsidR="00AB08A1" w:rsidRDefault="00AB08A1" w:rsidP="0068369A">
      <w:pPr>
        <w:pStyle w:val="Untitledsubclause1"/>
      </w:pPr>
      <w:bookmarkStart w:id="228" w:name="a278566"/>
      <w:r>
        <w:t xml:space="preserve">[Except as expressly provided elsewhere in this agreement, a </w:t>
      </w:r>
      <w:r>
        <w:rPr>
          <w:b/>
          <w:bCs/>
        </w:rPr>
        <w:t>OR</w:t>
      </w:r>
      <w:r>
        <w:t xml:space="preserve"> A] person who is not a party to this agreement shall not have any rights under the Contracts (Rights of Third Parties) Act 1999 to enforce any term of this agreement. [This does not affect any right or remedy of a third party which exists, or is available, apart from that Act.]</w:t>
      </w:r>
      <w:bookmarkEnd w:id="228"/>
    </w:p>
    <w:p w14:paraId="002045CC" w14:textId="77777777" w:rsidR="00AB08A1" w:rsidRDefault="00AB08A1" w:rsidP="0068369A">
      <w:pPr>
        <w:pStyle w:val="Untitledsubclause1"/>
      </w:pPr>
      <w:bookmarkStart w:id="229" w:name="a856027"/>
      <w:r>
        <w:t>The rights of the parties to terminate, rescind or agree any variation, waiver or settlement under this agreement are not subject to the consent of any other person.</w:t>
      </w:r>
      <w:bookmarkEnd w:id="229"/>
    </w:p>
    <w:p w14:paraId="002045CD" w14:textId="77777777" w:rsidR="00AB08A1" w:rsidRDefault="00AB08A1" w:rsidP="0068369A">
      <w:pPr>
        <w:pStyle w:val="TitleClause"/>
      </w:pPr>
      <w:r>
        <w:fldChar w:fldCharType="begin"/>
      </w:r>
      <w:r>
        <w:instrText>TC "19. Governing law" \l 1</w:instrText>
      </w:r>
      <w:r>
        <w:fldChar w:fldCharType="end"/>
      </w:r>
      <w:bookmarkStart w:id="230" w:name="_Toc256000018"/>
      <w:bookmarkStart w:id="231" w:name="a565913"/>
      <w:r>
        <w:t>Governing law</w:t>
      </w:r>
      <w:bookmarkEnd w:id="230"/>
      <w:bookmarkEnd w:id="231"/>
    </w:p>
    <w:p w14:paraId="002045CE" w14:textId="77777777" w:rsidR="00AB08A1" w:rsidRDefault="00AB08A1" w:rsidP="0068369A">
      <w:pPr>
        <w:pStyle w:val="NoNumUntitledsubclause1"/>
      </w:pPr>
      <w:bookmarkStart w:id="232" w:name="a155263"/>
      <w:r>
        <w:t xml:space="preserve">This agreement and </w:t>
      </w:r>
      <w:r>
        <w:t>any dispute or claim arising out of or in connection with it or its subject matter or formation (including non-contractual disputes or claims) shall be governed by and construed in accordance with the law of England and Wales.</w:t>
      </w:r>
      <w:bookmarkEnd w:id="232"/>
    </w:p>
    <w:p w14:paraId="002045CF" w14:textId="77777777" w:rsidR="00AB08A1" w:rsidRDefault="00AB08A1" w:rsidP="0068369A">
      <w:pPr>
        <w:pStyle w:val="TitleClause"/>
      </w:pPr>
      <w:r>
        <w:lastRenderedPageBreak/>
        <w:fldChar w:fldCharType="begin"/>
      </w:r>
      <w:r>
        <w:instrText>TC "20. Jurisdiction" \l 1</w:instrText>
      </w:r>
      <w:r>
        <w:fldChar w:fldCharType="end"/>
      </w:r>
      <w:bookmarkStart w:id="233" w:name="_Toc256000019"/>
      <w:bookmarkStart w:id="234" w:name="a240549"/>
      <w:r>
        <w:t>Jurisdiction</w:t>
      </w:r>
      <w:bookmarkEnd w:id="233"/>
      <w:bookmarkEnd w:id="234"/>
    </w:p>
    <w:p w14:paraId="002045D0" w14:textId="77777777" w:rsidR="00AB08A1" w:rsidRDefault="00AB08A1" w:rsidP="0068369A">
      <w:pPr>
        <w:pStyle w:val="NoNumUntitledsubclause1"/>
      </w:pPr>
      <w:bookmarkStart w:id="235" w:name="a822178"/>
      <w:r>
        <w:t xml:space="preserve">Each party irrevocably agrees that the courts of England and Wales shall have [exclusive </w:t>
      </w:r>
      <w:r>
        <w:rPr>
          <w:b/>
        </w:rPr>
        <w:t>OR</w:t>
      </w:r>
      <w:r>
        <w:t xml:space="preserve"> non-exclusive] jurisdiction to settle any dispute or claim arising out of or in connection with this agreement or its subject matter or formation (including non-contractual disputes or claims).</w:t>
      </w:r>
      <w:bookmarkEnd w:id="235"/>
    </w:p>
    <w:p w14:paraId="002045D1" w14:textId="77777777" w:rsidR="00AB08A1" w:rsidRDefault="00AB08A1" w:rsidP="0068369A">
      <w:pPr>
        <w:pStyle w:val="Testimonium"/>
      </w:pPr>
      <w:r>
        <w:t>This document has been executed as a deed and is delivered and takes effect on the date stated at the beginning of it.</w:t>
      </w:r>
    </w:p>
    <w:p w14:paraId="002045D2" w14:textId="77777777" w:rsidR="00AB08A1" w:rsidRDefault="00AB08A1" w:rsidP="0068369A">
      <w:pPr>
        <w:pStyle w:val="Schedule"/>
        <w:pageBreakBefore/>
        <w:numPr>
          <w:ilvl w:val="0"/>
          <w:numId w:val="52"/>
        </w:numPr>
      </w:pPr>
      <w:bookmarkStart w:id="236" w:name="_Toc256000020"/>
      <w:bookmarkStart w:id="237" w:name="a551048"/>
      <w:r>
        <w:lastRenderedPageBreak/>
        <w:t>Services</w:t>
      </w:r>
      <w:bookmarkEnd w:id="236"/>
      <w:bookmarkEnd w:id="237"/>
    </w:p>
    <w:p w14:paraId="002045D3" w14:textId="77777777" w:rsidR="00AB08A1" w:rsidRDefault="00AB08A1" w:rsidP="0068369A">
      <w:pPr>
        <w:pStyle w:val="Paragraph"/>
      </w:pPr>
      <w:r>
        <w:t>[INCLUDE THE FOLLOWING MATTERS:</w:t>
      </w:r>
    </w:p>
    <w:p w14:paraId="002045D4" w14:textId="77777777" w:rsidR="00AB08A1" w:rsidRDefault="00AB08A1" w:rsidP="0068369A">
      <w:pPr>
        <w:pStyle w:val="BulletList1"/>
      </w:pPr>
      <w:r>
        <w:t xml:space="preserve">OVERVIEW OF </w:t>
      </w:r>
      <w:proofErr w:type="gramStart"/>
      <w:r>
        <w:t>SERVICES;</w:t>
      </w:r>
      <w:proofErr w:type="gramEnd"/>
    </w:p>
    <w:p w14:paraId="002045D5" w14:textId="77777777" w:rsidR="00AB08A1" w:rsidRDefault="00AB08A1" w:rsidP="0068369A">
      <w:pPr>
        <w:pStyle w:val="BulletList1"/>
      </w:pPr>
      <w:r>
        <w:t xml:space="preserve">DETAILS OF THE DELIVERABLES TO BE ACHIEVED IN THE PROVISION OF THE </w:t>
      </w:r>
      <w:proofErr w:type="gramStart"/>
      <w:r>
        <w:t>SERVICES;</w:t>
      </w:r>
      <w:proofErr w:type="gramEnd"/>
    </w:p>
    <w:p w14:paraId="002045D6" w14:textId="77777777" w:rsidR="00AB08A1" w:rsidRDefault="00AB08A1" w:rsidP="0068369A">
      <w:pPr>
        <w:pStyle w:val="BulletList1"/>
      </w:pPr>
      <w:r>
        <w:t xml:space="preserve">THE LOCATION(S) WHERE THE SERVICES ARE TO BE </w:t>
      </w:r>
      <w:proofErr w:type="gramStart"/>
      <w:r>
        <w:t>PERFORMED;</w:t>
      </w:r>
      <w:proofErr w:type="gramEnd"/>
    </w:p>
    <w:p w14:paraId="002045D7" w14:textId="77777777" w:rsidR="00AB08A1" w:rsidRDefault="00AB08A1" w:rsidP="0068369A">
      <w:pPr>
        <w:pStyle w:val="BulletList1"/>
      </w:pPr>
      <w:r>
        <w:t xml:space="preserve">CLIENT POINT OF CONTACT AND ANY REPORTS TO BE </w:t>
      </w:r>
      <w:proofErr w:type="gramStart"/>
      <w:r>
        <w:t>SUBMITTED;</w:t>
      </w:r>
      <w:proofErr w:type="gramEnd"/>
    </w:p>
    <w:p w14:paraId="002045D8" w14:textId="77777777" w:rsidR="00AB08A1" w:rsidRDefault="00AB08A1" w:rsidP="0068369A">
      <w:pPr>
        <w:pStyle w:val="BulletList1"/>
      </w:pPr>
      <w:r>
        <w:t xml:space="preserve">TIMETABLE FOR PROVISION OF THE SERVICES, INCLUDING ANY MILESTONES RELATED TO THE ACHIEVEMENT OF SPECIFIC </w:t>
      </w:r>
      <w:proofErr w:type="gramStart"/>
      <w:r>
        <w:t>DELIVERABLES;</w:t>
      </w:r>
      <w:proofErr w:type="gramEnd"/>
      <w:r>
        <w:t xml:space="preserve"> </w:t>
      </w:r>
    </w:p>
    <w:p w14:paraId="002045D9" w14:textId="77777777" w:rsidR="00AB08A1" w:rsidRDefault="00AB08A1" w:rsidP="0068369A">
      <w:pPr>
        <w:pStyle w:val="BulletList1"/>
      </w:pPr>
      <w:r>
        <w:t>ANY APPLICABLE ACCEPTANCE CRITERIA; AND</w:t>
      </w:r>
    </w:p>
    <w:p w14:paraId="002045DA" w14:textId="77777777" w:rsidR="00AB08A1" w:rsidRDefault="00AB08A1" w:rsidP="0068369A">
      <w:pPr>
        <w:pStyle w:val="BulletList1"/>
      </w:pPr>
      <w:r>
        <w:t>WHETHER THE SERVICES WILL NEED TO BE PROVIDED TO ANY OTHER GROUP COMPANIES.]</w:t>
      </w:r>
    </w:p>
    <w:p w14:paraId="002045DB" w14:textId="77777777" w:rsidR="00AB08A1" w:rsidRDefault="00AB08A1" w:rsidP="0068369A">
      <w:pPr>
        <w:pStyle w:val="Schedule"/>
        <w:pageBreakBefore/>
        <w:numPr>
          <w:ilvl w:val="0"/>
          <w:numId w:val="52"/>
        </w:numPr>
      </w:pPr>
      <w:bookmarkStart w:id="238" w:name="_Toc256000021"/>
      <w:bookmarkStart w:id="239" w:name="a697218"/>
      <w:r>
        <w:lastRenderedPageBreak/>
        <w:t>Processing, Personal data and Data subjects</w:t>
      </w:r>
      <w:bookmarkEnd w:id="238"/>
      <w:bookmarkEnd w:id="239"/>
    </w:p>
    <w:p w14:paraId="002045DC" w14:textId="77777777" w:rsidR="00AB08A1" w:rsidRDefault="00AB08A1" w:rsidP="0068369A">
      <w:pPr>
        <w:pStyle w:val="Part"/>
        <w:numPr>
          <w:ilvl w:val="0"/>
          <w:numId w:val="56"/>
        </w:numPr>
      </w:pPr>
      <w:bookmarkStart w:id="240" w:name="_Toc256000022"/>
      <w:bookmarkStart w:id="241" w:name="a606909"/>
      <w:r>
        <w:t>PROCESSING BY THE CONSULTANT</w:t>
      </w:r>
      <w:bookmarkEnd w:id="240"/>
      <w:bookmarkEnd w:id="241"/>
    </w:p>
    <w:p w14:paraId="002045DD" w14:textId="77777777" w:rsidR="00AB08A1" w:rsidRPr="00445010" w:rsidRDefault="00AB08A1" w:rsidP="0068369A">
      <w:pPr>
        <w:pStyle w:val="ScheduleTitleClause"/>
        <w:numPr>
          <w:ilvl w:val="0"/>
          <w:numId w:val="60"/>
        </w:numPr>
      </w:pPr>
      <w:r>
        <w:fldChar w:fldCharType="begin"/>
      </w:r>
      <w:r>
        <w:instrText>TC "1. SCOPE" \l 1</w:instrText>
      </w:r>
      <w:r>
        <w:fldChar w:fldCharType="end"/>
      </w:r>
      <w:bookmarkStart w:id="242" w:name="_Toc256000023"/>
      <w:bookmarkStart w:id="243" w:name="a212886"/>
      <w:r>
        <w:t>SCOPE</w:t>
      </w:r>
      <w:bookmarkEnd w:id="242"/>
      <w:bookmarkEnd w:id="243"/>
    </w:p>
    <w:p w14:paraId="002045DE" w14:textId="77777777" w:rsidR="00AB08A1" w:rsidRPr="00445010" w:rsidRDefault="00AB08A1" w:rsidP="0068369A">
      <w:pPr>
        <w:pStyle w:val="ScheduleTitleClause"/>
        <w:numPr>
          <w:ilvl w:val="0"/>
          <w:numId w:val="60"/>
        </w:numPr>
      </w:pPr>
      <w:r>
        <w:fldChar w:fldCharType="begin"/>
      </w:r>
      <w:r>
        <w:instrText>TC "2. NATURE" \l 1</w:instrText>
      </w:r>
      <w:r>
        <w:fldChar w:fldCharType="end"/>
      </w:r>
      <w:bookmarkStart w:id="244" w:name="_Toc256000024"/>
      <w:bookmarkStart w:id="245" w:name="a213636"/>
      <w:r>
        <w:t>NATURE</w:t>
      </w:r>
      <w:bookmarkEnd w:id="244"/>
      <w:bookmarkEnd w:id="245"/>
    </w:p>
    <w:p w14:paraId="002045DF" w14:textId="77777777" w:rsidR="00AB08A1" w:rsidRPr="00445010" w:rsidRDefault="00AB08A1" w:rsidP="0068369A">
      <w:pPr>
        <w:pStyle w:val="ScheduleTitleClause"/>
        <w:numPr>
          <w:ilvl w:val="0"/>
          <w:numId w:val="60"/>
        </w:numPr>
      </w:pPr>
      <w:r>
        <w:fldChar w:fldCharType="begin"/>
      </w:r>
      <w:r>
        <w:instrText>TC "3. PURPOSE OF THE PROCESSING" \l 1</w:instrText>
      </w:r>
      <w:r>
        <w:fldChar w:fldCharType="end"/>
      </w:r>
      <w:bookmarkStart w:id="246" w:name="_Toc256000025"/>
      <w:bookmarkStart w:id="247" w:name="a947288"/>
      <w:r>
        <w:t>PURPOSE OF THE PROCESSING</w:t>
      </w:r>
      <w:bookmarkEnd w:id="246"/>
      <w:bookmarkEnd w:id="247"/>
    </w:p>
    <w:p w14:paraId="002045E0" w14:textId="77777777" w:rsidR="00AB08A1" w:rsidRPr="00445010" w:rsidRDefault="00AB08A1" w:rsidP="0068369A">
      <w:pPr>
        <w:pStyle w:val="ScheduleTitleClause"/>
        <w:numPr>
          <w:ilvl w:val="0"/>
          <w:numId w:val="60"/>
        </w:numPr>
      </w:pPr>
      <w:r>
        <w:fldChar w:fldCharType="begin"/>
      </w:r>
      <w:r>
        <w:instrText>TC "4. DURATION OF THE PROCESSING" \l 1</w:instrText>
      </w:r>
      <w:r>
        <w:fldChar w:fldCharType="end"/>
      </w:r>
      <w:bookmarkStart w:id="248" w:name="_Toc256000026"/>
      <w:bookmarkStart w:id="249" w:name="a757860"/>
      <w:r>
        <w:t>DURATION OF THE PROCESSING</w:t>
      </w:r>
      <w:bookmarkEnd w:id="248"/>
      <w:bookmarkEnd w:id="249"/>
    </w:p>
    <w:p w14:paraId="002045E1" w14:textId="77777777" w:rsidR="00AB08A1" w:rsidRDefault="00AB08A1" w:rsidP="0068369A">
      <w:pPr>
        <w:pStyle w:val="Part"/>
        <w:numPr>
          <w:ilvl w:val="0"/>
          <w:numId w:val="56"/>
        </w:numPr>
      </w:pPr>
      <w:bookmarkStart w:id="250" w:name="_Toc256000027"/>
      <w:bookmarkStart w:id="251" w:name="a935511"/>
      <w:r>
        <w:t>TYPES OF PERSONAL DATA</w:t>
      </w:r>
      <w:bookmarkEnd w:id="250"/>
      <w:bookmarkEnd w:id="251"/>
    </w:p>
    <w:p w14:paraId="002045E2" w14:textId="77777777" w:rsidR="00AB08A1" w:rsidRDefault="00AB08A1" w:rsidP="0068369A">
      <w:pPr>
        <w:pStyle w:val="Part"/>
        <w:numPr>
          <w:ilvl w:val="0"/>
          <w:numId w:val="56"/>
        </w:numPr>
      </w:pPr>
      <w:bookmarkStart w:id="252" w:name="_Toc256000028"/>
      <w:bookmarkStart w:id="253" w:name="a773555"/>
      <w:r>
        <w:t>CATEGORIES OF DATA SUBJECT</w:t>
      </w:r>
      <w:bookmarkEnd w:id="252"/>
      <w:bookmarkEnd w:id="253"/>
    </w:p>
    <w:p w14:paraId="002045E3" w14:textId="77777777" w:rsidR="00AB08A1" w:rsidRDefault="00AB08A1" w:rsidP="0068369A">
      <w:pPr>
        <w:pStyle w:val="Schedule"/>
        <w:pageBreakBefore/>
        <w:numPr>
          <w:ilvl w:val="0"/>
          <w:numId w:val="52"/>
        </w:numPr>
      </w:pPr>
      <w:bookmarkStart w:id="254" w:name="_Toc256000029"/>
      <w:bookmarkStart w:id="255" w:name="a536839"/>
      <w:r>
        <w:lastRenderedPageBreak/>
        <w:t>[Ethics and Anti-</w:t>
      </w:r>
      <w:proofErr w:type="gramStart"/>
      <w:r>
        <w:t>bribery</w:t>
      </w:r>
      <w:proofErr w:type="gramEnd"/>
      <w:r>
        <w:t xml:space="preserve"> and Anti-corruption policies</w:t>
      </w:r>
      <w:r>
        <w:fldChar w:fldCharType="begin"/>
      </w:r>
      <w:r>
        <w:fldChar w:fldCharType="end"/>
      </w:r>
      <w:r>
        <w:t>]</w:t>
      </w:r>
      <w:bookmarkEnd w:id="254"/>
      <w:bookmarkEnd w:id="255"/>
    </w:p>
    <w:p w14:paraId="002045E4" w14:textId="77777777" w:rsidR="00AB08A1" w:rsidRDefault="00AB08A1" w:rsidP="0068369A">
      <w:pPr>
        <w:pStyle w:val="Schedule"/>
        <w:pageBreakBefore/>
        <w:numPr>
          <w:ilvl w:val="0"/>
          <w:numId w:val="52"/>
        </w:numPr>
      </w:pPr>
      <w:bookmarkStart w:id="256" w:name="_Toc256000030"/>
      <w:bookmarkStart w:id="257" w:name="a354018"/>
      <w:r>
        <w:lastRenderedPageBreak/>
        <w:t>[</w:t>
      </w:r>
      <w:r>
        <w:t>Anti-facilitation of tax evasion policy</w:t>
      </w:r>
      <w:r>
        <w:fldChar w:fldCharType="begin"/>
      </w:r>
      <w:r>
        <w:fldChar w:fldCharType="end"/>
      </w:r>
      <w:r>
        <w:t>]</w:t>
      </w:r>
      <w:bookmarkEnd w:id="256"/>
      <w:bookmarkEnd w:id="257"/>
    </w:p>
    <w:p w14:paraId="002045E5" w14:textId="77777777" w:rsidR="00AB08A1" w:rsidRDefault="00AB08A1" w:rsidP="0068369A">
      <w:pPr>
        <w:pStyle w:val="Schedule"/>
        <w:pageBreakBefore/>
        <w:numPr>
          <w:ilvl w:val="0"/>
          <w:numId w:val="52"/>
        </w:numPr>
      </w:pPr>
      <w:bookmarkStart w:id="258" w:name="_Toc256000031"/>
      <w:bookmarkStart w:id="259" w:name="a236405"/>
      <w:r>
        <w:lastRenderedPageBreak/>
        <w:t>[Industry Codes</w:t>
      </w:r>
      <w:r>
        <w:fldChar w:fldCharType="begin"/>
      </w:r>
      <w:r>
        <w:fldChar w:fldCharType="end"/>
      </w:r>
      <w:r>
        <w:t>]</w:t>
      </w:r>
      <w:bookmarkEnd w:id="258"/>
      <w:bookmarkEnd w:id="259"/>
    </w:p>
    <w:p w14:paraId="002045E6" w14:textId="77777777" w:rsidR="00074F36" w:rsidRDefault="00AB08A1">
      <w:r>
        <w:br w:type="page"/>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3192"/>
        <w:gridCol w:w="3193"/>
        <w:gridCol w:w="3191"/>
      </w:tblGrid>
      <w:tr w:rsidR="00074F36" w14:paraId="002045F0" w14:textId="77777777" w:rsidTr="00704386">
        <w:tc>
          <w:tcPr>
            <w:tcW w:w="1667" w:type="pct"/>
            <w:tcBorders>
              <w:top w:val="nil"/>
              <w:left w:val="nil"/>
              <w:bottom w:val="nil"/>
              <w:right w:val="nil"/>
            </w:tcBorders>
            <w:shd w:val="clear" w:color="DDD9C3" w:fill="EEECE1"/>
          </w:tcPr>
          <w:p w14:paraId="002045E7" w14:textId="77777777" w:rsidR="00AB08A1" w:rsidRDefault="00AB08A1" w:rsidP="00704386">
            <w:pPr>
              <w:pStyle w:val="Paragraph"/>
              <w:jc w:val="left"/>
            </w:pPr>
            <w:r>
              <w:lastRenderedPageBreak/>
              <w:t>Executed as a deed by [NAME OF CLIENT]</w:t>
            </w:r>
          </w:p>
          <w:p w14:paraId="002045E8" w14:textId="77777777" w:rsidR="00AB08A1" w:rsidRDefault="00AB08A1" w:rsidP="00704386">
            <w:pPr>
              <w:pStyle w:val="Paragraph"/>
              <w:jc w:val="left"/>
            </w:pPr>
            <w:r>
              <w:t xml:space="preserve">                acting by [NAME OF FIRST DIRECTOR], a director and [NAME OF SECOND DIRECTOR/SECRETARY], [a director OR its secretary]</w:t>
            </w:r>
          </w:p>
        </w:tc>
        <w:tc>
          <w:tcPr>
            <w:tcW w:w="1667" w:type="pct"/>
            <w:tcBorders>
              <w:top w:val="nil"/>
              <w:left w:val="nil"/>
              <w:bottom w:val="nil"/>
              <w:right w:val="nil"/>
            </w:tcBorders>
            <w:shd w:val="clear" w:color="DDD9C3" w:fill="EEECE1"/>
          </w:tcPr>
          <w:p w14:paraId="002045E9" w14:textId="77777777" w:rsidR="00074F36" w:rsidRDefault="00074F36"/>
        </w:tc>
        <w:tc>
          <w:tcPr>
            <w:tcW w:w="1667" w:type="pct"/>
            <w:tcBorders>
              <w:top w:val="nil"/>
              <w:left w:val="nil"/>
              <w:bottom w:val="nil"/>
              <w:right w:val="nil"/>
            </w:tcBorders>
            <w:shd w:val="clear" w:color="DDD9C3" w:fill="EEECE1"/>
          </w:tcPr>
          <w:p w14:paraId="002045EA" w14:textId="77777777" w:rsidR="00AB08A1" w:rsidRDefault="00AB08A1" w:rsidP="00704386">
            <w:pPr>
              <w:pStyle w:val="Paragraph"/>
              <w:jc w:val="left"/>
            </w:pPr>
            <w:r>
              <w:t>....................</w:t>
            </w:r>
          </w:p>
          <w:p w14:paraId="002045EB" w14:textId="77777777" w:rsidR="00AB08A1" w:rsidRDefault="00AB08A1" w:rsidP="00704386">
            <w:pPr>
              <w:pStyle w:val="Paragraph"/>
              <w:jc w:val="left"/>
            </w:pPr>
            <w:r>
              <w:t>[SIGNATURE OF FIRST DIRECTOR]</w:t>
            </w:r>
          </w:p>
          <w:p w14:paraId="002045EC" w14:textId="77777777" w:rsidR="00AB08A1" w:rsidRDefault="00AB08A1" w:rsidP="00704386">
            <w:pPr>
              <w:pStyle w:val="Paragraph"/>
              <w:jc w:val="left"/>
            </w:pPr>
            <w:r>
              <w:t>Director</w:t>
            </w:r>
          </w:p>
          <w:p w14:paraId="002045ED" w14:textId="77777777" w:rsidR="00AB08A1" w:rsidRDefault="00AB08A1" w:rsidP="00704386">
            <w:pPr>
              <w:pStyle w:val="Paragraph"/>
              <w:jc w:val="left"/>
            </w:pPr>
            <w:r>
              <w:t>....................</w:t>
            </w:r>
          </w:p>
          <w:p w14:paraId="002045EE" w14:textId="77777777" w:rsidR="00AB08A1" w:rsidRDefault="00AB08A1" w:rsidP="00704386">
            <w:pPr>
              <w:pStyle w:val="Paragraph"/>
              <w:jc w:val="left"/>
            </w:pPr>
            <w:r>
              <w:t>[SIGNATURE OF SECOND DIRECTOR OR SECRETARY]</w:t>
            </w:r>
          </w:p>
          <w:p w14:paraId="002045EF" w14:textId="77777777" w:rsidR="00AB08A1" w:rsidRDefault="00AB08A1" w:rsidP="00704386">
            <w:pPr>
              <w:pStyle w:val="Paragraph"/>
              <w:jc w:val="left"/>
            </w:pPr>
            <w:r>
              <w:t>[Director OR Secretary]</w:t>
            </w:r>
          </w:p>
        </w:tc>
      </w:tr>
      <w:tr w:rsidR="00074F36" w14:paraId="002045F2" w14:textId="77777777" w:rsidTr="00704386">
        <w:trPr>
          <w:gridAfter w:val="2"/>
          <w:wAfter w:w="5760" w:type="dxa"/>
        </w:trPr>
        <w:tc>
          <w:tcPr>
            <w:tcW w:w="1667" w:type="pct"/>
            <w:tcBorders>
              <w:top w:val="nil"/>
              <w:left w:val="nil"/>
              <w:bottom w:val="nil"/>
              <w:right w:val="nil"/>
            </w:tcBorders>
            <w:shd w:val="clear" w:color="DDD9C3" w:fill="EEECE1"/>
          </w:tcPr>
          <w:p w14:paraId="002045F1" w14:textId="77777777" w:rsidR="00AB08A1" w:rsidRDefault="00AB08A1" w:rsidP="00704386">
            <w:pPr>
              <w:pStyle w:val="Paragraph"/>
              <w:jc w:val="left"/>
            </w:pPr>
            <w:r>
              <w:t>OR</w:t>
            </w:r>
          </w:p>
        </w:tc>
      </w:tr>
      <w:tr w:rsidR="00074F36" w14:paraId="002045FC" w14:textId="77777777" w:rsidTr="00704386">
        <w:tc>
          <w:tcPr>
            <w:tcW w:w="1667" w:type="pct"/>
            <w:tcBorders>
              <w:top w:val="nil"/>
              <w:left w:val="nil"/>
              <w:bottom w:val="nil"/>
              <w:right w:val="nil"/>
            </w:tcBorders>
            <w:shd w:val="clear" w:color="DDD9C3" w:fill="EEECE1"/>
          </w:tcPr>
          <w:p w14:paraId="002045F3" w14:textId="77777777" w:rsidR="00AB08A1" w:rsidRDefault="00AB08A1" w:rsidP="00704386">
            <w:pPr>
              <w:pStyle w:val="Paragraph"/>
              <w:jc w:val="left"/>
            </w:pPr>
            <w:r>
              <w:t>Executed as a deed by [NAME OF CLIENT]</w:t>
            </w:r>
          </w:p>
          <w:p w14:paraId="002045F4" w14:textId="77777777" w:rsidR="00AB08A1" w:rsidRDefault="00AB08A1" w:rsidP="00704386">
            <w:pPr>
              <w:pStyle w:val="Paragraph"/>
              <w:jc w:val="left"/>
            </w:pPr>
            <w:r>
              <w:t xml:space="preserve">                acting by [NAME OF DIRECTOR] a director, in the presence of:</w:t>
            </w:r>
          </w:p>
          <w:p w14:paraId="002045F5" w14:textId="77777777" w:rsidR="00AB08A1" w:rsidRDefault="00AB08A1" w:rsidP="00704386">
            <w:pPr>
              <w:pStyle w:val="Paragraph"/>
              <w:jc w:val="left"/>
            </w:pPr>
            <w:r>
              <w:t>....................</w:t>
            </w:r>
          </w:p>
          <w:p w14:paraId="002045F6" w14:textId="77777777" w:rsidR="00AB08A1" w:rsidRDefault="00AB08A1" w:rsidP="00704386">
            <w:pPr>
              <w:pStyle w:val="Paragraph"/>
              <w:jc w:val="left"/>
            </w:pPr>
            <w:r>
              <w:t>[SIGNATURE OF WITNESS]</w:t>
            </w:r>
          </w:p>
          <w:p w14:paraId="002045F7" w14:textId="77777777" w:rsidR="00AB08A1" w:rsidRDefault="00AB08A1" w:rsidP="00704386">
            <w:pPr>
              <w:pStyle w:val="Paragraph"/>
              <w:jc w:val="left"/>
            </w:pPr>
            <w:r>
              <w:t>[NAME, ADDRESS [AND OCCUPATION] OF WITNESS]</w:t>
            </w:r>
          </w:p>
        </w:tc>
        <w:tc>
          <w:tcPr>
            <w:tcW w:w="1667" w:type="pct"/>
            <w:tcBorders>
              <w:top w:val="nil"/>
              <w:left w:val="nil"/>
              <w:bottom w:val="nil"/>
              <w:right w:val="nil"/>
            </w:tcBorders>
            <w:shd w:val="clear" w:color="DDD9C3" w:fill="EEECE1"/>
          </w:tcPr>
          <w:p w14:paraId="002045F8" w14:textId="77777777" w:rsidR="00074F36" w:rsidRDefault="00074F36"/>
        </w:tc>
        <w:tc>
          <w:tcPr>
            <w:tcW w:w="1667" w:type="pct"/>
            <w:tcBorders>
              <w:top w:val="nil"/>
              <w:left w:val="nil"/>
              <w:bottom w:val="nil"/>
              <w:right w:val="nil"/>
            </w:tcBorders>
            <w:shd w:val="clear" w:color="DDD9C3" w:fill="EEECE1"/>
          </w:tcPr>
          <w:p w14:paraId="002045F9" w14:textId="77777777" w:rsidR="00AB08A1" w:rsidRDefault="00AB08A1" w:rsidP="00704386">
            <w:pPr>
              <w:pStyle w:val="Paragraph"/>
              <w:jc w:val="left"/>
            </w:pPr>
            <w:r>
              <w:t>....................</w:t>
            </w:r>
          </w:p>
          <w:p w14:paraId="002045FA" w14:textId="77777777" w:rsidR="00AB08A1" w:rsidRDefault="00AB08A1" w:rsidP="00704386">
            <w:pPr>
              <w:pStyle w:val="Paragraph"/>
              <w:jc w:val="left"/>
            </w:pPr>
            <w:r>
              <w:t>[SIGNATURE OF DIRECTOR]</w:t>
            </w:r>
          </w:p>
          <w:p w14:paraId="002045FB" w14:textId="77777777" w:rsidR="00AB08A1" w:rsidRDefault="00AB08A1" w:rsidP="00704386">
            <w:pPr>
              <w:pStyle w:val="Paragraph"/>
              <w:jc w:val="left"/>
            </w:pPr>
            <w:r>
              <w:t>Director</w:t>
            </w:r>
          </w:p>
        </w:tc>
      </w:tr>
      <w:tr w:rsidR="00074F36" w14:paraId="002045FE" w14:textId="77777777" w:rsidTr="00704386">
        <w:trPr>
          <w:gridAfter w:val="2"/>
          <w:wAfter w:w="5760" w:type="dxa"/>
        </w:trPr>
        <w:tc>
          <w:tcPr>
            <w:tcW w:w="1667" w:type="pct"/>
            <w:tcBorders>
              <w:top w:val="nil"/>
              <w:left w:val="nil"/>
              <w:bottom w:val="nil"/>
              <w:right w:val="nil"/>
            </w:tcBorders>
            <w:shd w:val="clear" w:color="DDD9C3" w:fill="EEECE1"/>
          </w:tcPr>
          <w:p w14:paraId="002045FD" w14:textId="77777777" w:rsidR="00074F36" w:rsidRDefault="00074F36"/>
        </w:tc>
      </w:tr>
      <w:tr w:rsidR="00074F36" w14:paraId="00204600" w14:textId="77777777" w:rsidTr="00704386">
        <w:tc>
          <w:tcPr>
            <w:tcW w:w="1667" w:type="pct"/>
            <w:gridSpan w:val="3"/>
            <w:tcBorders>
              <w:top w:val="nil"/>
              <w:left w:val="nil"/>
              <w:bottom w:val="nil"/>
              <w:right w:val="nil"/>
            </w:tcBorders>
            <w:shd w:val="clear" w:color="DDD9C3" w:fill="EEECE1"/>
          </w:tcPr>
          <w:p w14:paraId="002045FF" w14:textId="77777777" w:rsidR="00074F36" w:rsidRDefault="00074F36"/>
        </w:tc>
      </w:tr>
      <w:tr w:rsidR="00074F36" w14:paraId="00204605" w14:textId="77777777" w:rsidTr="00704386">
        <w:tc>
          <w:tcPr>
            <w:tcW w:w="1667" w:type="pct"/>
            <w:tcBorders>
              <w:top w:val="nil"/>
              <w:left w:val="nil"/>
              <w:bottom w:val="nil"/>
              <w:right w:val="nil"/>
            </w:tcBorders>
            <w:shd w:val="clear" w:color="DDD9C3" w:fill="EEECE1"/>
          </w:tcPr>
          <w:p w14:paraId="00204601" w14:textId="77777777" w:rsidR="00AB08A1" w:rsidRDefault="00AB08A1" w:rsidP="00704386">
            <w:pPr>
              <w:pStyle w:val="Paragraph"/>
              <w:jc w:val="left"/>
            </w:pPr>
            <w:r>
              <w:t xml:space="preserve">Signed as a deed by [NAME OF </w:t>
            </w:r>
            <w:r>
              <w:t>CONSULTANT] in the presence of:</w:t>
            </w:r>
          </w:p>
        </w:tc>
        <w:tc>
          <w:tcPr>
            <w:tcW w:w="1667" w:type="pct"/>
            <w:tcBorders>
              <w:top w:val="nil"/>
              <w:left w:val="nil"/>
              <w:bottom w:val="nil"/>
              <w:right w:val="nil"/>
            </w:tcBorders>
            <w:shd w:val="clear" w:color="DDD9C3" w:fill="EEECE1"/>
          </w:tcPr>
          <w:p w14:paraId="00204602" w14:textId="77777777" w:rsidR="00074F36" w:rsidRDefault="00074F36"/>
        </w:tc>
        <w:tc>
          <w:tcPr>
            <w:tcW w:w="1667" w:type="pct"/>
            <w:tcBorders>
              <w:top w:val="nil"/>
              <w:left w:val="nil"/>
              <w:bottom w:val="nil"/>
              <w:right w:val="nil"/>
            </w:tcBorders>
            <w:shd w:val="clear" w:color="DDD9C3" w:fill="EEECE1"/>
          </w:tcPr>
          <w:p w14:paraId="00204603" w14:textId="77777777" w:rsidR="00AB08A1" w:rsidRDefault="00AB08A1" w:rsidP="00704386">
            <w:pPr>
              <w:pStyle w:val="Paragraph"/>
              <w:jc w:val="left"/>
            </w:pPr>
            <w:r>
              <w:t>....................</w:t>
            </w:r>
          </w:p>
          <w:p w14:paraId="00204604" w14:textId="77777777" w:rsidR="00AB08A1" w:rsidRDefault="00AB08A1" w:rsidP="00704386">
            <w:pPr>
              <w:pStyle w:val="Paragraph"/>
              <w:jc w:val="left"/>
            </w:pPr>
            <w:r>
              <w:t>[SIGNATURE OF Consultant]</w:t>
            </w:r>
          </w:p>
        </w:tc>
      </w:tr>
      <w:tr w:rsidR="00074F36" w14:paraId="0020460B" w14:textId="77777777" w:rsidTr="00704386">
        <w:tc>
          <w:tcPr>
            <w:tcW w:w="1667" w:type="pct"/>
            <w:tcBorders>
              <w:top w:val="nil"/>
              <w:left w:val="nil"/>
              <w:bottom w:val="nil"/>
              <w:right w:val="nil"/>
            </w:tcBorders>
            <w:shd w:val="clear" w:color="DDD9C3" w:fill="EEECE1"/>
          </w:tcPr>
          <w:p w14:paraId="00204606" w14:textId="77777777" w:rsidR="00AB08A1" w:rsidRDefault="00AB08A1" w:rsidP="00704386">
            <w:pPr>
              <w:pStyle w:val="Paragraph"/>
              <w:jc w:val="left"/>
            </w:pPr>
            <w:r>
              <w:t>....................</w:t>
            </w:r>
          </w:p>
          <w:p w14:paraId="00204607" w14:textId="77777777" w:rsidR="00AB08A1" w:rsidRDefault="00AB08A1" w:rsidP="00704386">
            <w:pPr>
              <w:pStyle w:val="Paragraph"/>
              <w:jc w:val="left"/>
            </w:pPr>
            <w:r>
              <w:t>[SIGNATURE OF WITNESS]</w:t>
            </w:r>
          </w:p>
          <w:p w14:paraId="00204608" w14:textId="77777777" w:rsidR="00AB08A1" w:rsidRDefault="00AB08A1" w:rsidP="00704386">
            <w:pPr>
              <w:pStyle w:val="Paragraph"/>
              <w:jc w:val="left"/>
            </w:pPr>
            <w:r>
              <w:t>[NAME, ADDRESS [AND OCCUPATION] OF WITNESS]</w:t>
            </w:r>
          </w:p>
        </w:tc>
        <w:tc>
          <w:tcPr>
            <w:tcW w:w="1667" w:type="pct"/>
            <w:tcBorders>
              <w:top w:val="nil"/>
              <w:left w:val="nil"/>
              <w:bottom w:val="nil"/>
              <w:right w:val="nil"/>
            </w:tcBorders>
            <w:shd w:val="clear" w:color="DDD9C3" w:fill="EEECE1"/>
          </w:tcPr>
          <w:p w14:paraId="00204609" w14:textId="77777777" w:rsidR="00074F36" w:rsidRDefault="00074F36"/>
        </w:tc>
        <w:tc>
          <w:tcPr>
            <w:tcW w:w="1667" w:type="pct"/>
            <w:tcBorders>
              <w:top w:val="nil"/>
              <w:left w:val="nil"/>
              <w:bottom w:val="nil"/>
              <w:right w:val="nil"/>
            </w:tcBorders>
            <w:shd w:val="clear" w:color="DDD9C3" w:fill="EEECE1"/>
          </w:tcPr>
          <w:p w14:paraId="0020460A" w14:textId="77777777" w:rsidR="00074F36" w:rsidRDefault="00074F36"/>
        </w:tc>
      </w:tr>
      <w:tr w:rsidR="00074F36" w14:paraId="0020460D" w14:textId="77777777" w:rsidTr="00704386">
        <w:trPr>
          <w:gridAfter w:val="2"/>
          <w:wAfter w:w="5760" w:type="dxa"/>
        </w:trPr>
        <w:tc>
          <w:tcPr>
            <w:tcW w:w="1667" w:type="pct"/>
            <w:tcBorders>
              <w:top w:val="nil"/>
              <w:left w:val="nil"/>
              <w:bottom w:val="nil"/>
              <w:right w:val="nil"/>
            </w:tcBorders>
            <w:shd w:val="clear" w:color="DDD9C3" w:fill="EEECE1"/>
          </w:tcPr>
          <w:p w14:paraId="0020460C" w14:textId="77777777" w:rsidR="00074F36" w:rsidRDefault="00074F36"/>
        </w:tc>
      </w:tr>
      <w:tr w:rsidR="00074F36" w14:paraId="0020460F" w14:textId="77777777" w:rsidTr="00704386">
        <w:tc>
          <w:tcPr>
            <w:tcW w:w="1667" w:type="pct"/>
            <w:gridSpan w:val="3"/>
            <w:tcBorders>
              <w:top w:val="nil"/>
              <w:left w:val="nil"/>
              <w:bottom w:val="nil"/>
              <w:right w:val="nil"/>
            </w:tcBorders>
            <w:shd w:val="clear" w:color="DDD9C3" w:fill="EEECE1"/>
          </w:tcPr>
          <w:p w14:paraId="0020460E" w14:textId="77777777" w:rsidR="00074F36" w:rsidRDefault="00074F36"/>
        </w:tc>
      </w:tr>
    </w:tbl>
    <w:p w14:paraId="00204610" w14:textId="77777777" w:rsidR="00074F36" w:rsidRDefault="00074F36"/>
    <w:sectPr w:rsidR="00074F36" w:rsidSect="00F7377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04616" w14:textId="77777777" w:rsidR="00AB08A1" w:rsidRDefault="00AB08A1">
      <w:pPr>
        <w:spacing w:after="0" w:line="240" w:lineRule="auto"/>
      </w:pPr>
      <w:r>
        <w:separator/>
      </w:r>
    </w:p>
  </w:endnote>
  <w:endnote w:type="continuationSeparator" w:id="0">
    <w:p w14:paraId="00204618" w14:textId="77777777" w:rsidR="00AB08A1" w:rsidRDefault="00AB0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04611" w14:textId="77777777" w:rsidR="00074F36" w:rsidRDefault="00AB08A1">
    <w:pPr>
      <w:jc w:val="center"/>
    </w:pPr>
    <w:r>
      <w:fldChar w:fldCharType="begin"/>
    </w:r>
    <w:r>
      <w:instrText>PAGE</w:instrText>
    </w:r>
    <w:r>
      <w:fldChar w:fldCharType="separate"/>
    </w:r>
    <w: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04612" w14:textId="77777777" w:rsidR="00AB08A1" w:rsidRDefault="00AB08A1">
      <w:pPr>
        <w:spacing w:after="0" w:line="240" w:lineRule="auto"/>
      </w:pPr>
      <w:r>
        <w:separator/>
      </w:r>
    </w:p>
  </w:footnote>
  <w:footnote w:type="continuationSeparator" w:id="0">
    <w:p w14:paraId="00204614" w14:textId="77777777" w:rsidR="00AB08A1" w:rsidRDefault="00AB0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DBDE589E">
      <w:start w:val="1"/>
      <w:numFmt w:val="bullet"/>
      <w:pStyle w:val="DefinedTermBullet"/>
      <w:lvlText w:val=""/>
      <w:lvlJc w:val="left"/>
      <w:pPr>
        <w:ind w:left="1440" w:hanging="360"/>
      </w:pPr>
      <w:rPr>
        <w:rFonts w:ascii="Symbol" w:hAnsi="Symbol" w:hint="default"/>
        <w:color w:val="000000"/>
      </w:rPr>
    </w:lvl>
    <w:lvl w:ilvl="1" w:tplc="17264A78" w:tentative="1">
      <w:start w:val="1"/>
      <w:numFmt w:val="bullet"/>
      <w:lvlText w:val="o"/>
      <w:lvlJc w:val="left"/>
      <w:pPr>
        <w:ind w:left="2160" w:hanging="360"/>
      </w:pPr>
      <w:rPr>
        <w:rFonts w:ascii="Courier New" w:hAnsi="Courier New" w:cs="Courier New" w:hint="default"/>
      </w:rPr>
    </w:lvl>
    <w:lvl w:ilvl="2" w:tplc="4AD068D4" w:tentative="1">
      <w:start w:val="1"/>
      <w:numFmt w:val="bullet"/>
      <w:lvlText w:val=""/>
      <w:lvlJc w:val="left"/>
      <w:pPr>
        <w:ind w:left="2880" w:hanging="360"/>
      </w:pPr>
      <w:rPr>
        <w:rFonts w:ascii="Wingdings" w:hAnsi="Wingdings" w:hint="default"/>
      </w:rPr>
    </w:lvl>
    <w:lvl w:ilvl="3" w:tplc="069E1DC0" w:tentative="1">
      <w:start w:val="1"/>
      <w:numFmt w:val="bullet"/>
      <w:lvlText w:val=""/>
      <w:lvlJc w:val="left"/>
      <w:pPr>
        <w:ind w:left="3600" w:hanging="360"/>
      </w:pPr>
      <w:rPr>
        <w:rFonts w:ascii="Symbol" w:hAnsi="Symbol" w:hint="default"/>
      </w:rPr>
    </w:lvl>
    <w:lvl w:ilvl="4" w:tplc="AA446510" w:tentative="1">
      <w:start w:val="1"/>
      <w:numFmt w:val="bullet"/>
      <w:lvlText w:val="o"/>
      <w:lvlJc w:val="left"/>
      <w:pPr>
        <w:ind w:left="4320" w:hanging="360"/>
      </w:pPr>
      <w:rPr>
        <w:rFonts w:ascii="Courier New" w:hAnsi="Courier New" w:cs="Courier New" w:hint="default"/>
      </w:rPr>
    </w:lvl>
    <w:lvl w:ilvl="5" w:tplc="9DE4B1FC" w:tentative="1">
      <w:start w:val="1"/>
      <w:numFmt w:val="bullet"/>
      <w:lvlText w:val=""/>
      <w:lvlJc w:val="left"/>
      <w:pPr>
        <w:ind w:left="5040" w:hanging="360"/>
      </w:pPr>
      <w:rPr>
        <w:rFonts w:ascii="Wingdings" w:hAnsi="Wingdings" w:hint="default"/>
      </w:rPr>
    </w:lvl>
    <w:lvl w:ilvl="6" w:tplc="B400D752" w:tentative="1">
      <w:start w:val="1"/>
      <w:numFmt w:val="bullet"/>
      <w:lvlText w:val=""/>
      <w:lvlJc w:val="left"/>
      <w:pPr>
        <w:ind w:left="5760" w:hanging="360"/>
      </w:pPr>
      <w:rPr>
        <w:rFonts w:ascii="Symbol" w:hAnsi="Symbol" w:hint="default"/>
      </w:rPr>
    </w:lvl>
    <w:lvl w:ilvl="7" w:tplc="15F6C36C" w:tentative="1">
      <w:start w:val="1"/>
      <w:numFmt w:val="bullet"/>
      <w:lvlText w:val="o"/>
      <w:lvlJc w:val="left"/>
      <w:pPr>
        <w:ind w:left="6480" w:hanging="360"/>
      </w:pPr>
      <w:rPr>
        <w:rFonts w:ascii="Courier New" w:hAnsi="Courier New" w:cs="Courier New" w:hint="default"/>
      </w:rPr>
    </w:lvl>
    <w:lvl w:ilvl="8" w:tplc="B3068DBE" w:tentative="1">
      <w:start w:val="1"/>
      <w:numFmt w:val="bullet"/>
      <w:lvlText w:val=""/>
      <w:lvlJc w:val="left"/>
      <w:pPr>
        <w:ind w:left="7200" w:hanging="360"/>
      </w:pPr>
      <w:rPr>
        <w:rFonts w:ascii="Wingdings" w:hAnsi="Wingdings" w:hint="default"/>
      </w:rPr>
    </w:lvl>
  </w:abstractNum>
  <w:abstractNum w:abstractNumId="12" w15:restartNumberingAfterBreak="0">
    <w:nsid w:val="07D059AD"/>
    <w:multiLevelType w:val="hybridMultilevel"/>
    <w:tmpl w:val="340AB914"/>
    <w:lvl w:ilvl="0" w:tplc="972E3D84">
      <w:start w:val="1"/>
      <w:numFmt w:val="lowerLetter"/>
      <w:lvlText w:val="%1)"/>
      <w:lvlJc w:val="left"/>
      <w:pPr>
        <w:ind w:left="1714" w:hanging="360"/>
      </w:pPr>
      <w:rPr>
        <w:color w:val="000000"/>
      </w:rPr>
    </w:lvl>
    <w:lvl w:ilvl="1" w:tplc="3FECC30A" w:tentative="1">
      <w:start w:val="1"/>
      <w:numFmt w:val="lowerLetter"/>
      <w:lvlText w:val="%2."/>
      <w:lvlJc w:val="left"/>
      <w:pPr>
        <w:ind w:left="2434" w:hanging="360"/>
      </w:pPr>
    </w:lvl>
    <w:lvl w:ilvl="2" w:tplc="F0E08774" w:tentative="1">
      <w:start w:val="1"/>
      <w:numFmt w:val="lowerRoman"/>
      <w:lvlText w:val="%3."/>
      <w:lvlJc w:val="right"/>
      <w:pPr>
        <w:ind w:left="3154" w:hanging="180"/>
      </w:pPr>
    </w:lvl>
    <w:lvl w:ilvl="3" w:tplc="CEAACA6E" w:tentative="1">
      <w:start w:val="1"/>
      <w:numFmt w:val="decimal"/>
      <w:lvlText w:val="%4."/>
      <w:lvlJc w:val="left"/>
      <w:pPr>
        <w:ind w:left="3874" w:hanging="360"/>
      </w:pPr>
    </w:lvl>
    <w:lvl w:ilvl="4" w:tplc="863C36F2" w:tentative="1">
      <w:start w:val="1"/>
      <w:numFmt w:val="lowerLetter"/>
      <w:lvlText w:val="%5."/>
      <w:lvlJc w:val="left"/>
      <w:pPr>
        <w:ind w:left="4594" w:hanging="360"/>
      </w:pPr>
    </w:lvl>
    <w:lvl w:ilvl="5" w:tplc="2B8292A2" w:tentative="1">
      <w:start w:val="1"/>
      <w:numFmt w:val="lowerRoman"/>
      <w:lvlText w:val="%6."/>
      <w:lvlJc w:val="right"/>
      <w:pPr>
        <w:ind w:left="5314" w:hanging="180"/>
      </w:pPr>
    </w:lvl>
    <w:lvl w:ilvl="6" w:tplc="C17A06C0" w:tentative="1">
      <w:start w:val="1"/>
      <w:numFmt w:val="decimal"/>
      <w:lvlText w:val="%7."/>
      <w:lvlJc w:val="left"/>
      <w:pPr>
        <w:ind w:left="6034" w:hanging="360"/>
      </w:pPr>
    </w:lvl>
    <w:lvl w:ilvl="7" w:tplc="518E0726" w:tentative="1">
      <w:start w:val="1"/>
      <w:numFmt w:val="lowerLetter"/>
      <w:lvlText w:val="%8."/>
      <w:lvlJc w:val="left"/>
      <w:pPr>
        <w:ind w:left="6754" w:hanging="360"/>
      </w:pPr>
    </w:lvl>
    <w:lvl w:ilvl="8" w:tplc="BCE2C1D6" w:tentative="1">
      <w:start w:val="1"/>
      <w:numFmt w:val="lowerRoman"/>
      <w:lvlText w:val="%9."/>
      <w:lvlJc w:val="right"/>
      <w:pPr>
        <w:ind w:left="7474" w:hanging="180"/>
      </w:pPr>
    </w:lvl>
  </w:abstractNum>
  <w:abstractNum w:abstractNumId="13"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825EA9"/>
    <w:multiLevelType w:val="multilevel"/>
    <w:tmpl w:val="B5EA651E"/>
    <w:lvl w:ilvl="0">
      <w:start w:val="1"/>
      <w:numFmt w:val="decimal"/>
      <w:lvlText w:val="Schedule %1"/>
      <w:lvlJc w:val="left"/>
      <w:pPr>
        <w:ind w:left="360" w:hanging="360"/>
      </w:pPr>
      <w:rPr>
        <w:rFonts w:hint="default"/>
        <w:color w:val="000000"/>
      </w:rPr>
    </w:lvl>
    <w:lvl w:ilvl="1">
      <w:start w:val="1"/>
      <w:numFmt w:val="decimal"/>
      <w:lvlText w:val="Part %2"/>
      <w:lvlJc w:val="left"/>
      <w:pPr>
        <w:ind w:left="357" w:hanging="357"/>
      </w:pPr>
      <w:rPr>
        <w:rFonts w:hint="default"/>
        <w:color w:val="000000"/>
      </w:rPr>
    </w:lvl>
    <w:lvl w:ilvl="2">
      <w:start w:val="1"/>
      <w:numFmt w:val="decimal"/>
      <w:lvlText w:val="%3."/>
      <w:lvlJc w:val="left"/>
      <w:pPr>
        <w:tabs>
          <w:tab w:val="num" w:pos="720"/>
        </w:tabs>
        <w:ind w:left="720" w:hanging="720"/>
      </w:pPr>
      <w:rPr>
        <w:rFonts w:hint="default"/>
        <w:color w:val="000000"/>
      </w:rPr>
    </w:lvl>
    <w:lvl w:ilvl="3">
      <w:start w:val="1"/>
      <w:numFmt w:val="decimal"/>
      <w:lvlText w:val="%3.%4"/>
      <w:lvlJc w:val="left"/>
      <w:pPr>
        <w:tabs>
          <w:tab w:val="num" w:pos="720"/>
        </w:tabs>
        <w:ind w:left="720" w:hanging="720"/>
      </w:pPr>
      <w:rPr>
        <w:rFonts w:hint="default"/>
      </w:rPr>
    </w:lvl>
    <w:lvl w:ilvl="4">
      <w:start w:val="1"/>
      <w:numFmt w:val="lowerLetter"/>
      <w:lvlText w:val="(%5)"/>
      <w:lvlJc w:val="left"/>
      <w:pPr>
        <w:tabs>
          <w:tab w:val="num" w:pos="1555"/>
        </w:tabs>
        <w:ind w:left="1555" w:hanging="561"/>
      </w:pPr>
      <w:rPr>
        <w:rFonts w:hint="default"/>
      </w:rPr>
    </w:lvl>
    <w:lvl w:ilvl="5">
      <w:start w:val="1"/>
      <w:numFmt w:val="lowerRoman"/>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4E63F9"/>
    <w:multiLevelType w:val="hybridMultilevel"/>
    <w:tmpl w:val="F9EEB024"/>
    <w:lvl w:ilvl="0" w:tplc="49F80066">
      <w:start w:val="1"/>
      <w:numFmt w:val="decimal"/>
      <w:lvlText w:val="Schedule %1"/>
      <w:lvlJc w:val="left"/>
      <w:pPr>
        <w:ind w:left="720" w:hanging="360"/>
      </w:pPr>
      <w:rPr>
        <w:rFonts w:hint="default"/>
        <w:color w:val="000000"/>
      </w:rPr>
    </w:lvl>
    <w:lvl w:ilvl="1" w:tplc="84589030" w:tentative="1">
      <w:start w:val="1"/>
      <w:numFmt w:val="lowerLetter"/>
      <w:lvlText w:val="%2."/>
      <w:lvlJc w:val="left"/>
      <w:pPr>
        <w:ind w:left="1440" w:hanging="360"/>
      </w:pPr>
    </w:lvl>
    <w:lvl w:ilvl="2" w:tplc="E460E518" w:tentative="1">
      <w:start w:val="1"/>
      <w:numFmt w:val="lowerRoman"/>
      <w:lvlText w:val="%3."/>
      <w:lvlJc w:val="right"/>
      <w:pPr>
        <w:ind w:left="2160" w:hanging="180"/>
      </w:pPr>
    </w:lvl>
    <w:lvl w:ilvl="3" w:tplc="6D083052" w:tentative="1">
      <w:start w:val="1"/>
      <w:numFmt w:val="decimal"/>
      <w:lvlText w:val="%4."/>
      <w:lvlJc w:val="left"/>
      <w:pPr>
        <w:ind w:left="2880" w:hanging="360"/>
      </w:pPr>
    </w:lvl>
    <w:lvl w:ilvl="4" w:tplc="0D42E666" w:tentative="1">
      <w:start w:val="1"/>
      <w:numFmt w:val="lowerLetter"/>
      <w:lvlText w:val="%5."/>
      <w:lvlJc w:val="left"/>
      <w:pPr>
        <w:ind w:left="3600" w:hanging="360"/>
      </w:pPr>
    </w:lvl>
    <w:lvl w:ilvl="5" w:tplc="963AA9AC" w:tentative="1">
      <w:start w:val="1"/>
      <w:numFmt w:val="lowerRoman"/>
      <w:lvlText w:val="%6."/>
      <w:lvlJc w:val="right"/>
      <w:pPr>
        <w:ind w:left="4320" w:hanging="180"/>
      </w:pPr>
    </w:lvl>
    <w:lvl w:ilvl="6" w:tplc="A37C56CC" w:tentative="1">
      <w:start w:val="1"/>
      <w:numFmt w:val="decimal"/>
      <w:lvlText w:val="%7."/>
      <w:lvlJc w:val="left"/>
      <w:pPr>
        <w:ind w:left="5040" w:hanging="360"/>
      </w:pPr>
    </w:lvl>
    <w:lvl w:ilvl="7" w:tplc="57C472F6" w:tentative="1">
      <w:start w:val="1"/>
      <w:numFmt w:val="lowerLetter"/>
      <w:lvlText w:val="%8."/>
      <w:lvlJc w:val="left"/>
      <w:pPr>
        <w:ind w:left="5760" w:hanging="360"/>
      </w:pPr>
    </w:lvl>
    <w:lvl w:ilvl="8" w:tplc="E2FA1E2C" w:tentative="1">
      <w:start w:val="1"/>
      <w:numFmt w:val="lowerRoman"/>
      <w:lvlText w:val="%9."/>
      <w:lvlJc w:val="right"/>
      <w:pPr>
        <w:ind w:left="6480" w:hanging="180"/>
      </w:pPr>
    </w:lvl>
  </w:abstractNum>
  <w:abstractNum w:abstractNumId="16" w15:restartNumberingAfterBreak="0">
    <w:nsid w:val="20E82F3A"/>
    <w:multiLevelType w:val="hybridMultilevel"/>
    <w:tmpl w:val="1DF80854"/>
    <w:lvl w:ilvl="0" w:tplc="69F0782A">
      <w:start w:val="1"/>
      <w:numFmt w:val="decimal"/>
      <w:pStyle w:val="ScheduleHeading-Single"/>
      <w:lvlText w:val="Schedule"/>
      <w:lvlJc w:val="left"/>
      <w:pPr>
        <w:tabs>
          <w:tab w:val="num" w:pos="720"/>
        </w:tabs>
        <w:ind w:left="720" w:hanging="720"/>
      </w:pPr>
      <w:rPr>
        <w:color w:val="000000"/>
      </w:rPr>
    </w:lvl>
    <w:lvl w:ilvl="1" w:tplc="498C0E74" w:tentative="1">
      <w:start w:val="1"/>
      <w:numFmt w:val="lowerLetter"/>
      <w:lvlText w:val="%2."/>
      <w:lvlJc w:val="left"/>
      <w:pPr>
        <w:tabs>
          <w:tab w:val="num" w:pos="1440"/>
        </w:tabs>
        <w:ind w:left="1440" w:hanging="360"/>
      </w:pPr>
    </w:lvl>
    <w:lvl w:ilvl="2" w:tplc="D90C3B44" w:tentative="1">
      <w:start w:val="1"/>
      <w:numFmt w:val="lowerRoman"/>
      <w:lvlText w:val="%3."/>
      <w:lvlJc w:val="right"/>
      <w:pPr>
        <w:tabs>
          <w:tab w:val="num" w:pos="2160"/>
        </w:tabs>
        <w:ind w:left="2160" w:hanging="180"/>
      </w:pPr>
    </w:lvl>
    <w:lvl w:ilvl="3" w:tplc="EA149C64" w:tentative="1">
      <w:start w:val="1"/>
      <w:numFmt w:val="decimal"/>
      <w:lvlText w:val="%4."/>
      <w:lvlJc w:val="left"/>
      <w:pPr>
        <w:tabs>
          <w:tab w:val="num" w:pos="2880"/>
        </w:tabs>
        <w:ind w:left="2880" w:hanging="360"/>
      </w:pPr>
    </w:lvl>
    <w:lvl w:ilvl="4" w:tplc="0EF2BA48" w:tentative="1">
      <w:start w:val="1"/>
      <w:numFmt w:val="lowerLetter"/>
      <w:lvlText w:val="%5."/>
      <w:lvlJc w:val="left"/>
      <w:pPr>
        <w:tabs>
          <w:tab w:val="num" w:pos="3600"/>
        </w:tabs>
        <w:ind w:left="3600" w:hanging="360"/>
      </w:pPr>
    </w:lvl>
    <w:lvl w:ilvl="5" w:tplc="F0B28434" w:tentative="1">
      <w:start w:val="1"/>
      <w:numFmt w:val="lowerRoman"/>
      <w:lvlText w:val="%6."/>
      <w:lvlJc w:val="right"/>
      <w:pPr>
        <w:tabs>
          <w:tab w:val="num" w:pos="4320"/>
        </w:tabs>
        <w:ind w:left="4320" w:hanging="180"/>
      </w:pPr>
    </w:lvl>
    <w:lvl w:ilvl="6" w:tplc="40241C08" w:tentative="1">
      <w:start w:val="1"/>
      <w:numFmt w:val="decimal"/>
      <w:lvlText w:val="%7."/>
      <w:lvlJc w:val="left"/>
      <w:pPr>
        <w:tabs>
          <w:tab w:val="num" w:pos="5040"/>
        </w:tabs>
        <w:ind w:left="5040" w:hanging="360"/>
      </w:pPr>
    </w:lvl>
    <w:lvl w:ilvl="7" w:tplc="AC687F72" w:tentative="1">
      <w:start w:val="1"/>
      <w:numFmt w:val="lowerLetter"/>
      <w:lvlText w:val="%8."/>
      <w:lvlJc w:val="left"/>
      <w:pPr>
        <w:tabs>
          <w:tab w:val="num" w:pos="5760"/>
        </w:tabs>
        <w:ind w:left="5760" w:hanging="360"/>
      </w:pPr>
    </w:lvl>
    <w:lvl w:ilvl="8" w:tplc="CEF05314" w:tentative="1">
      <w:start w:val="1"/>
      <w:numFmt w:val="lowerRoman"/>
      <w:lvlText w:val="%9."/>
      <w:lvlJc w:val="right"/>
      <w:pPr>
        <w:tabs>
          <w:tab w:val="num" w:pos="6480"/>
        </w:tabs>
        <w:ind w:left="6480" w:hanging="180"/>
      </w:pPr>
    </w:lvl>
  </w:abstractNum>
  <w:abstractNum w:abstractNumId="17" w15:restartNumberingAfterBreak="0">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18" w15:restartNumberingAfterBreak="0">
    <w:nsid w:val="23F230AE"/>
    <w:multiLevelType w:val="hybridMultilevel"/>
    <w:tmpl w:val="DC3EE75A"/>
    <w:lvl w:ilvl="0" w:tplc="4552A61A">
      <w:start w:val="1"/>
      <w:numFmt w:val="decimal"/>
      <w:lvlText w:val="Part %1"/>
      <w:lvlJc w:val="left"/>
      <w:pPr>
        <w:ind w:left="720" w:hanging="360"/>
      </w:pPr>
      <w:rPr>
        <w:rFonts w:hint="default"/>
        <w:b/>
        <w:i w:val="0"/>
        <w:color w:val="000000"/>
      </w:rPr>
    </w:lvl>
    <w:lvl w:ilvl="1" w:tplc="B01EDA8C" w:tentative="1">
      <w:start w:val="1"/>
      <w:numFmt w:val="lowerLetter"/>
      <w:lvlText w:val="%2."/>
      <w:lvlJc w:val="left"/>
      <w:pPr>
        <w:ind w:left="1440" w:hanging="360"/>
      </w:pPr>
    </w:lvl>
    <w:lvl w:ilvl="2" w:tplc="A5822070" w:tentative="1">
      <w:start w:val="1"/>
      <w:numFmt w:val="lowerRoman"/>
      <w:lvlText w:val="%3."/>
      <w:lvlJc w:val="right"/>
      <w:pPr>
        <w:ind w:left="2160" w:hanging="180"/>
      </w:pPr>
    </w:lvl>
    <w:lvl w:ilvl="3" w:tplc="E1CA8C0A" w:tentative="1">
      <w:start w:val="1"/>
      <w:numFmt w:val="decimal"/>
      <w:lvlText w:val="%4."/>
      <w:lvlJc w:val="left"/>
      <w:pPr>
        <w:ind w:left="2880" w:hanging="360"/>
      </w:pPr>
    </w:lvl>
    <w:lvl w:ilvl="4" w:tplc="EF80BC9C" w:tentative="1">
      <w:start w:val="1"/>
      <w:numFmt w:val="lowerLetter"/>
      <w:lvlText w:val="%5."/>
      <w:lvlJc w:val="left"/>
      <w:pPr>
        <w:ind w:left="3600" w:hanging="360"/>
      </w:pPr>
    </w:lvl>
    <w:lvl w:ilvl="5" w:tplc="53ECFDBE" w:tentative="1">
      <w:start w:val="1"/>
      <w:numFmt w:val="lowerRoman"/>
      <w:lvlText w:val="%6."/>
      <w:lvlJc w:val="right"/>
      <w:pPr>
        <w:ind w:left="4320" w:hanging="180"/>
      </w:pPr>
    </w:lvl>
    <w:lvl w:ilvl="6" w:tplc="0C8C9BEA" w:tentative="1">
      <w:start w:val="1"/>
      <w:numFmt w:val="decimal"/>
      <w:lvlText w:val="%7."/>
      <w:lvlJc w:val="left"/>
      <w:pPr>
        <w:ind w:left="5040" w:hanging="360"/>
      </w:pPr>
    </w:lvl>
    <w:lvl w:ilvl="7" w:tplc="F594BDDE" w:tentative="1">
      <w:start w:val="1"/>
      <w:numFmt w:val="lowerLetter"/>
      <w:lvlText w:val="%8."/>
      <w:lvlJc w:val="left"/>
      <w:pPr>
        <w:ind w:left="5760" w:hanging="360"/>
      </w:pPr>
    </w:lvl>
    <w:lvl w:ilvl="8" w:tplc="62E2E064" w:tentative="1">
      <w:start w:val="1"/>
      <w:numFmt w:val="lowerRoman"/>
      <w:lvlText w:val="%9."/>
      <w:lvlJc w:val="right"/>
      <w:pPr>
        <w:ind w:left="6480" w:hanging="180"/>
      </w:pPr>
    </w:lvl>
  </w:abstractNum>
  <w:abstractNum w:abstractNumId="19" w15:restartNumberingAfterBreak="0">
    <w:nsid w:val="25B00E4C"/>
    <w:multiLevelType w:val="hybridMultilevel"/>
    <w:tmpl w:val="97C4AA26"/>
    <w:lvl w:ilvl="0" w:tplc="097406CC">
      <w:start w:val="1"/>
      <w:numFmt w:val="upperLetter"/>
      <w:pStyle w:val="Annex"/>
      <w:lvlText w:val="ANNEX %1"/>
      <w:lvlJc w:val="left"/>
      <w:pPr>
        <w:ind w:left="720" w:hanging="360"/>
      </w:pPr>
      <w:rPr>
        <w:rFonts w:cs="Times New Roman" w:hint="default"/>
        <w:b/>
        <w:bCs w:val="0"/>
        <w:i w:val="0"/>
        <w:iCs w:val="0"/>
        <w:caps w:val="0"/>
        <w:strike w:val="0"/>
        <w:dstrike w:val="0"/>
        <w:outline w:val="0"/>
        <w:shadow w:val="0"/>
        <w:emboss w:val="0"/>
        <w:imprint w:val="0"/>
        <w:vanish w:val="0"/>
        <w:color w:val="000000"/>
        <w:spacing w:val="0"/>
        <w:kern w:val="0"/>
        <w:position w:val="0"/>
        <w:u w:val="none"/>
        <w:effect w:val="none"/>
        <w:vertAlign w:val="baseline"/>
        <w14:ligatures w14:val="none"/>
        <w14:numForm w14:val="default"/>
        <w14:numSpacing w14:val="default"/>
        <w14:stylisticSets/>
        <w14:cntxtAlts w14:val="0"/>
      </w:rPr>
    </w:lvl>
    <w:lvl w:ilvl="1" w:tplc="272C249C" w:tentative="1">
      <w:start w:val="1"/>
      <w:numFmt w:val="lowerLetter"/>
      <w:lvlText w:val="%2."/>
      <w:lvlJc w:val="left"/>
      <w:pPr>
        <w:ind w:left="1440" w:hanging="360"/>
      </w:pPr>
    </w:lvl>
    <w:lvl w:ilvl="2" w:tplc="D6949398" w:tentative="1">
      <w:start w:val="1"/>
      <w:numFmt w:val="lowerRoman"/>
      <w:lvlText w:val="%3."/>
      <w:lvlJc w:val="right"/>
      <w:pPr>
        <w:ind w:left="2160" w:hanging="180"/>
      </w:pPr>
    </w:lvl>
    <w:lvl w:ilvl="3" w:tplc="A9440ED4" w:tentative="1">
      <w:start w:val="1"/>
      <w:numFmt w:val="decimal"/>
      <w:lvlText w:val="%4."/>
      <w:lvlJc w:val="left"/>
      <w:pPr>
        <w:ind w:left="2880" w:hanging="360"/>
      </w:pPr>
    </w:lvl>
    <w:lvl w:ilvl="4" w:tplc="2030346A" w:tentative="1">
      <w:start w:val="1"/>
      <w:numFmt w:val="lowerLetter"/>
      <w:lvlText w:val="%5."/>
      <w:lvlJc w:val="left"/>
      <w:pPr>
        <w:ind w:left="3600" w:hanging="360"/>
      </w:pPr>
    </w:lvl>
    <w:lvl w:ilvl="5" w:tplc="424CAAF6" w:tentative="1">
      <w:start w:val="1"/>
      <w:numFmt w:val="lowerRoman"/>
      <w:lvlText w:val="%6."/>
      <w:lvlJc w:val="right"/>
      <w:pPr>
        <w:ind w:left="4320" w:hanging="180"/>
      </w:pPr>
    </w:lvl>
    <w:lvl w:ilvl="6" w:tplc="0C0EF3E4" w:tentative="1">
      <w:start w:val="1"/>
      <w:numFmt w:val="decimal"/>
      <w:lvlText w:val="%7."/>
      <w:lvlJc w:val="left"/>
      <w:pPr>
        <w:ind w:left="5040" w:hanging="360"/>
      </w:pPr>
    </w:lvl>
    <w:lvl w:ilvl="7" w:tplc="2A321868" w:tentative="1">
      <w:start w:val="1"/>
      <w:numFmt w:val="lowerLetter"/>
      <w:lvlText w:val="%8."/>
      <w:lvlJc w:val="left"/>
      <w:pPr>
        <w:ind w:left="5760" w:hanging="360"/>
      </w:pPr>
    </w:lvl>
    <w:lvl w:ilvl="8" w:tplc="B1D8530E" w:tentative="1">
      <w:start w:val="1"/>
      <w:numFmt w:val="lowerRoman"/>
      <w:lvlText w:val="%9."/>
      <w:lvlJc w:val="right"/>
      <w:pPr>
        <w:ind w:left="6480" w:hanging="180"/>
      </w:pPr>
    </w:lvl>
  </w:abstractNum>
  <w:abstractNum w:abstractNumId="20" w15:restartNumberingAfterBreak="0">
    <w:nsid w:val="29C94F29"/>
    <w:multiLevelType w:val="hybridMultilevel"/>
    <w:tmpl w:val="4CBC2A34"/>
    <w:lvl w:ilvl="0" w:tplc="72662750">
      <w:start w:val="1"/>
      <w:numFmt w:val="decimal"/>
      <w:pStyle w:val="QuestionParagraph"/>
      <w:lvlText w:val="%1."/>
      <w:lvlJc w:val="left"/>
      <w:pPr>
        <w:ind w:left="720" w:hanging="360"/>
      </w:pPr>
      <w:rPr>
        <w:color w:val="000000"/>
      </w:rPr>
    </w:lvl>
    <w:lvl w:ilvl="1" w:tplc="AFAE3D00" w:tentative="1">
      <w:start w:val="1"/>
      <w:numFmt w:val="lowerLetter"/>
      <w:lvlText w:val="%2."/>
      <w:lvlJc w:val="left"/>
      <w:pPr>
        <w:ind w:left="1440" w:hanging="360"/>
      </w:pPr>
    </w:lvl>
    <w:lvl w:ilvl="2" w:tplc="8794BE34" w:tentative="1">
      <w:start w:val="1"/>
      <w:numFmt w:val="lowerRoman"/>
      <w:lvlText w:val="%3."/>
      <w:lvlJc w:val="right"/>
      <w:pPr>
        <w:ind w:left="2160" w:hanging="180"/>
      </w:pPr>
    </w:lvl>
    <w:lvl w:ilvl="3" w:tplc="6C5C7CBC" w:tentative="1">
      <w:start w:val="1"/>
      <w:numFmt w:val="decimal"/>
      <w:lvlText w:val="%4."/>
      <w:lvlJc w:val="left"/>
      <w:pPr>
        <w:ind w:left="2880" w:hanging="360"/>
      </w:pPr>
    </w:lvl>
    <w:lvl w:ilvl="4" w:tplc="B9B4A0C8" w:tentative="1">
      <w:start w:val="1"/>
      <w:numFmt w:val="lowerLetter"/>
      <w:lvlText w:val="%5."/>
      <w:lvlJc w:val="left"/>
      <w:pPr>
        <w:ind w:left="3600" w:hanging="360"/>
      </w:pPr>
    </w:lvl>
    <w:lvl w:ilvl="5" w:tplc="89448ED2" w:tentative="1">
      <w:start w:val="1"/>
      <w:numFmt w:val="lowerRoman"/>
      <w:lvlText w:val="%6."/>
      <w:lvlJc w:val="right"/>
      <w:pPr>
        <w:ind w:left="4320" w:hanging="180"/>
      </w:pPr>
    </w:lvl>
    <w:lvl w:ilvl="6" w:tplc="B9E045C4" w:tentative="1">
      <w:start w:val="1"/>
      <w:numFmt w:val="decimal"/>
      <w:lvlText w:val="%7."/>
      <w:lvlJc w:val="left"/>
      <w:pPr>
        <w:ind w:left="5040" w:hanging="360"/>
      </w:pPr>
    </w:lvl>
    <w:lvl w:ilvl="7" w:tplc="BEF8D8F2" w:tentative="1">
      <w:start w:val="1"/>
      <w:numFmt w:val="lowerLetter"/>
      <w:lvlText w:val="%8."/>
      <w:lvlJc w:val="left"/>
      <w:pPr>
        <w:ind w:left="5760" w:hanging="360"/>
      </w:pPr>
    </w:lvl>
    <w:lvl w:ilvl="8" w:tplc="739A5FF2" w:tentative="1">
      <w:start w:val="1"/>
      <w:numFmt w:val="lowerRoman"/>
      <w:lvlText w:val="%9."/>
      <w:lvlJc w:val="right"/>
      <w:pPr>
        <w:ind w:left="6480" w:hanging="180"/>
      </w:pPr>
    </w:lvl>
  </w:abstractNum>
  <w:abstractNum w:abstractNumId="21" w15:restartNumberingAfterBreak="0">
    <w:nsid w:val="310416CA"/>
    <w:multiLevelType w:val="hybridMultilevel"/>
    <w:tmpl w:val="072EDEC8"/>
    <w:lvl w:ilvl="0" w:tplc="0F6AB960">
      <w:start w:val="1"/>
      <w:numFmt w:val="bullet"/>
      <w:pStyle w:val="subclause2Bullet2"/>
      <w:lvlText w:val=""/>
      <w:lvlJc w:val="left"/>
      <w:pPr>
        <w:ind w:left="2279" w:hanging="360"/>
      </w:pPr>
      <w:rPr>
        <w:rFonts w:ascii="Symbol" w:hAnsi="Symbol" w:hint="default"/>
        <w:color w:val="000000"/>
      </w:rPr>
    </w:lvl>
    <w:lvl w:ilvl="1" w:tplc="46721186" w:tentative="1">
      <w:start w:val="1"/>
      <w:numFmt w:val="bullet"/>
      <w:lvlText w:val="o"/>
      <w:lvlJc w:val="left"/>
      <w:pPr>
        <w:ind w:left="2999" w:hanging="360"/>
      </w:pPr>
      <w:rPr>
        <w:rFonts w:ascii="Courier New" w:hAnsi="Courier New" w:cs="Courier New" w:hint="default"/>
      </w:rPr>
    </w:lvl>
    <w:lvl w:ilvl="2" w:tplc="C73267EA" w:tentative="1">
      <w:start w:val="1"/>
      <w:numFmt w:val="bullet"/>
      <w:lvlText w:val=""/>
      <w:lvlJc w:val="left"/>
      <w:pPr>
        <w:ind w:left="3719" w:hanging="360"/>
      </w:pPr>
      <w:rPr>
        <w:rFonts w:ascii="Wingdings" w:hAnsi="Wingdings" w:hint="default"/>
      </w:rPr>
    </w:lvl>
    <w:lvl w:ilvl="3" w:tplc="D9B6CF00" w:tentative="1">
      <w:start w:val="1"/>
      <w:numFmt w:val="bullet"/>
      <w:lvlText w:val=""/>
      <w:lvlJc w:val="left"/>
      <w:pPr>
        <w:ind w:left="4439" w:hanging="360"/>
      </w:pPr>
      <w:rPr>
        <w:rFonts w:ascii="Symbol" w:hAnsi="Symbol" w:hint="default"/>
      </w:rPr>
    </w:lvl>
    <w:lvl w:ilvl="4" w:tplc="D9563656" w:tentative="1">
      <w:start w:val="1"/>
      <w:numFmt w:val="bullet"/>
      <w:lvlText w:val="o"/>
      <w:lvlJc w:val="left"/>
      <w:pPr>
        <w:ind w:left="5159" w:hanging="360"/>
      </w:pPr>
      <w:rPr>
        <w:rFonts w:ascii="Courier New" w:hAnsi="Courier New" w:cs="Courier New" w:hint="default"/>
      </w:rPr>
    </w:lvl>
    <w:lvl w:ilvl="5" w:tplc="F822C520" w:tentative="1">
      <w:start w:val="1"/>
      <w:numFmt w:val="bullet"/>
      <w:lvlText w:val=""/>
      <w:lvlJc w:val="left"/>
      <w:pPr>
        <w:ind w:left="5879" w:hanging="360"/>
      </w:pPr>
      <w:rPr>
        <w:rFonts w:ascii="Wingdings" w:hAnsi="Wingdings" w:hint="default"/>
      </w:rPr>
    </w:lvl>
    <w:lvl w:ilvl="6" w:tplc="D0666E44" w:tentative="1">
      <w:start w:val="1"/>
      <w:numFmt w:val="bullet"/>
      <w:lvlText w:val=""/>
      <w:lvlJc w:val="left"/>
      <w:pPr>
        <w:ind w:left="6599" w:hanging="360"/>
      </w:pPr>
      <w:rPr>
        <w:rFonts w:ascii="Symbol" w:hAnsi="Symbol" w:hint="default"/>
      </w:rPr>
    </w:lvl>
    <w:lvl w:ilvl="7" w:tplc="A6EE6C30" w:tentative="1">
      <w:start w:val="1"/>
      <w:numFmt w:val="bullet"/>
      <w:lvlText w:val="o"/>
      <w:lvlJc w:val="left"/>
      <w:pPr>
        <w:ind w:left="7319" w:hanging="360"/>
      </w:pPr>
      <w:rPr>
        <w:rFonts w:ascii="Courier New" w:hAnsi="Courier New" w:cs="Courier New" w:hint="default"/>
      </w:rPr>
    </w:lvl>
    <w:lvl w:ilvl="8" w:tplc="0220F21C" w:tentative="1">
      <w:start w:val="1"/>
      <w:numFmt w:val="bullet"/>
      <w:lvlText w:val=""/>
      <w:lvlJc w:val="left"/>
      <w:pPr>
        <w:ind w:left="8039" w:hanging="360"/>
      </w:pPr>
      <w:rPr>
        <w:rFonts w:ascii="Wingdings" w:hAnsi="Wingdings" w:hint="default"/>
      </w:rPr>
    </w:lvl>
  </w:abstractNum>
  <w:abstractNum w:abstractNumId="22" w15:restartNumberingAfterBreak="0">
    <w:nsid w:val="31E9741F"/>
    <w:multiLevelType w:val="hybridMultilevel"/>
    <w:tmpl w:val="0CAC7D4E"/>
    <w:lvl w:ilvl="0" w:tplc="3F5E832E">
      <w:start w:val="1"/>
      <w:numFmt w:val="bullet"/>
      <w:pStyle w:val="BulletList2"/>
      <w:lvlText w:val=""/>
      <w:lvlJc w:val="left"/>
      <w:pPr>
        <w:tabs>
          <w:tab w:val="num" w:pos="1077"/>
        </w:tabs>
        <w:ind w:left="1077" w:hanging="357"/>
      </w:pPr>
      <w:rPr>
        <w:rFonts w:ascii="Symbol" w:hAnsi="Symbol" w:hint="default"/>
        <w:color w:val="000000"/>
      </w:rPr>
    </w:lvl>
    <w:lvl w:ilvl="1" w:tplc="1562CA3A" w:tentative="1">
      <w:start w:val="1"/>
      <w:numFmt w:val="bullet"/>
      <w:lvlText w:val="o"/>
      <w:lvlJc w:val="left"/>
      <w:pPr>
        <w:tabs>
          <w:tab w:val="num" w:pos="1440"/>
        </w:tabs>
        <w:ind w:left="1440" w:hanging="360"/>
      </w:pPr>
      <w:rPr>
        <w:rFonts w:ascii="Courier New" w:hAnsi="Courier New" w:cs="Courier New" w:hint="default"/>
      </w:rPr>
    </w:lvl>
    <w:lvl w:ilvl="2" w:tplc="ABA2FB7C" w:tentative="1">
      <w:start w:val="1"/>
      <w:numFmt w:val="bullet"/>
      <w:lvlText w:val=""/>
      <w:lvlJc w:val="left"/>
      <w:pPr>
        <w:tabs>
          <w:tab w:val="num" w:pos="2160"/>
        </w:tabs>
        <w:ind w:left="2160" w:hanging="360"/>
      </w:pPr>
      <w:rPr>
        <w:rFonts w:ascii="Wingdings" w:hAnsi="Wingdings" w:hint="default"/>
      </w:rPr>
    </w:lvl>
    <w:lvl w:ilvl="3" w:tplc="6CD23250" w:tentative="1">
      <w:start w:val="1"/>
      <w:numFmt w:val="bullet"/>
      <w:lvlText w:val=""/>
      <w:lvlJc w:val="left"/>
      <w:pPr>
        <w:tabs>
          <w:tab w:val="num" w:pos="2880"/>
        </w:tabs>
        <w:ind w:left="2880" w:hanging="360"/>
      </w:pPr>
      <w:rPr>
        <w:rFonts w:ascii="Symbol" w:hAnsi="Symbol" w:hint="default"/>
      </w:rPr>
    </w:lvl>
    <w:lvl w:ilvl="4" w:tplc="76F03332" w:tentative="1">
      <w:start w:val="1"/>
      <w:numFmt w:val="bullet"/>
      <w:lvlText w:val="o"/>
      <w:lvlJc w:val="left"/>
      <w:pPr>
        <w:tabs>
          <w:tab w:val="num" w:pos="3600"/>
        </w:tabs>
        <w:ind w:left="3600" w:hanging="360"/>
      </w:pPr>
      <w:rPr>
        <w:rFonts w:ascii="Courier New" w:hAnsi="Courier New" w:cs="Courier New" w:hint="default"/>
      </w:rPr>
    </w:lvl>
    <w:lvl w:ilvl="5" w:tplc="50DEB08E" w:tentative="1">
      <w:start w:val="1"/>
      <w:numFmt w:val="bullet"/>
      <w:lvlText w:val=""/>
      <w:lvlJc w:val="left"/>
      <w:pPr>
        <w:tabs>
          <w:tab w:val="num" w:pos="4320"/>
        </w:tabs>
        <w:ind w:left="4320" w:hanging="360"/>
      </w:pPr>
      <w:rPr>
        <w:rFonts w:ascii="Wingdings" w:hAnsi="Wingdings" w:hint="default"/>
      </w:rPr>
    </w:lvl>
    <w:lvl w:ilvl="6" w:tplc="A8040DFA" w:tentative="1">
      <w:start w:val="1"/>
      <w:numFmt w:val="bullet"/>
      <w:lvlText w:val=""/>
      <w:lvlJc w:val="left"/>
      <w:pPr>
        <w:tabs>
          <w:tab w:val="num" w:pos="5040"/>
        </w:tabs>
        <w:ind w:left="5040" w:hanging="360"/>
      </w:pPr>
      <w:rPr>
        <w:rFonts w:ascii="Symbol" w:hAnsi="Symbol" w:hint="default"/>
      </w:rPr>
    </w:lvl>
    <w:lvl w:ilvl="7" w:tplc="77C2DDF6" w:tentative="1">
      <w:start w:val="1"/>
      <w:numFmt w:val="bullet"/>
      <w:lvlText w:val="o"/>
      <w:lvlJc w:val="left"/>
      <w:pPr>
        <w:tabs>
          <w:tab w:val="num" w:pos="5760"/>
        </w:tabs>
        <w:ind w:left="5760" w:hanging="360"/>
      </w:pPr>
      <w:rPr>
        <w:rFonts w:ascii="Courier New" w:hAnsi="Courier New" w:cs="Courier New" w:hint="default"/>
      </w:rPr>
    </w:lvl>
    <w:lvl w:ilvl="8" w:tplc="A9BE542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2F4F05"/>
    <w:multiLevelType w:val="hybridMultilevel"/>
    <w:tmpl w:val="B02E848E"/>
    <w:lvl w:ilvl="0" w:tplc="6FC6601C">
      <w:numFmt w:val="bullet"/>
      <w:lvlText w:val="-"/>
      <w:lvlJc w:val="left"/>
      <w:pPr>
        <w:ind w:left="720" w:hanging="360"/>
      </w:pPr>
      <w:rPr>
        <w:rFonts w:ascii="Arial" w:eastAsia="Arial Unicode MS" w:hAnsi="Arial" w:cs="Arial" w:hint="default"/>
        <w:color w:val="000000"/>
      </w:rPr>
    </w:lvl>
    <w:lvl w:ilvl="1" w:tplc="70E6A570" w:tentative="1">
      <w:start w:val="1"/>
      <w:numFmt w:val="bullet"/>
      <w:lvlText w:val="o"/>
      <w:lvlJc w:val="left"/>
      <w:pPr>
        <w:ind w:left="1440" w:hanging="360"/>
      </w:pPr>
      <w:rPr>
        <w:rFonts w:ascii="Courier New" w:hAnsi="Courier New" w:cs="Courier New" w:hint="default"/>
      </w:rPr>
    </w:lvl>
    <w:lvl w:ilvl="2" w:tplc="553C6270" w:tentative="1">
      <w:start w:val="1"/>
      <w:numFmt w:val="bullet"/>
      <w:lvlText w:val=""/>
      <w:lvlJc w:val="left"/>
      <w:pPr>
        <w:ind w:left="2160" w:hanging="360"/>
      </w:pPr>
      <w:rPr>
        <w:rFonts w:ascii="Wingdings" w:hAnsi="Wingdings" w:hint="default"/>
      </w:rPr>
    </w:lvl>
    <w:lvl w:ilvl="3" w:tplc="EAD207C4" w:tentative="1">
      <w:start w:val="1"/>
      <w:numFmt w:val="bullet"/>
      <w:lvlText w:val=""/>
      <w:lvlJc w:val="left"/>
      <w:pPr>
        <w:ind w:left="2880" w:hanging="360"/>
      </w:pPr>
      <w:rPr>
        <w:rFonts w:ascii="Symbol" w:hAnsi="Symbol" w:hint="default"/>
      </w:rPr>
    </w:lvl>
    <w:lvl w:ilvl="4" w:tplc="55BC6A20" w:tentative="1">
      <w:start w:val="1"/>
      <w:numFmt w:val="bullet"/>
      <w:lvlText w:val="o"/>
      <w:lvlJc w:val="left"/>
      <w:pPr>
        <w:ind w:left="3600" w:hanging="360"/>
      </w:pPr>
      <w:rPr>
        <w:rFonts w:ascii="Courier New" w:hAnsi="Courier New" w:cs="Courier New" w:hint="default"/>
      </w:rPr>
    </w:lvl>
    <w:lvl w:ilvl="5" w:tplc="DCB0CD0C" w:tentative="1">
      <w:start w:val="1"/>
      <w:numFmt w:val="bullet"/>
      <w:lvlText w:val=""/>
      <w:lvlJc w:val="left"/>
      <w:pPr>
        <w:ind w:left="4320" w:hanging="360"/>
      </w:pPr>
      <w:rPr>
        <w:rFonts w:ascii="Wingdings" w:hAnsi="Wingdings" w:hint="default"/>
      </w:rPr>
    </w:lvl>
    <w:lvl w:ilvl="6" w:tplc="DCA403FC" w:tentative="1">
      <w:start w:val="1"/>
      <w:numFmt w:val="bullet"/>
      <w:lvlText w:val=""/>
      <w:lvlJc w:val="left"/>
      <w:pPr>
        <w:ind w:left="5040" w:hanging="360"/>
      </w:pPr>
      <w:rPr>
        <w:rFonts w:ascii="Symbol" w:hAnsi="Symbol" w:hint="default"/>
      </w:rPr>
    </w:lvl>
    <w:lvl w:ilvl="7" w:tplc="1FA8B94A" w:tentative="1">
      <w:start w:val="1"/>
      <w:numFmt w:val="bullet"/>
      <w:lvlText w:val="o"/>
      <w:lvlJc w:val="left"/>
      <w:pPr>
        <w:ind w:left="5760" w:hanging="360"/>
      </w:pPr>
      <w:rPr>
        <w:rFonts w:ascii="Courier New" w:hAnsi="Courier New" w:cs="Courier New" w:hint="default"/>
      </w:rPr>
    </w:lvl>
    <w:lvl w:ilvl="8" w:tplc="D2242900" w:tentative="1">
      <w:start w:val="1"/>
      <w:numFmt w:val="bullet"/>
      <w:lvlText w:val=""/>
      <w:lvlJc w:val="left"/>
      <w:pPr>
        <w:ind w:left="6480" w:hanging="360"/>
      </w:pPr>
      <w:rPr>
        <w:rFonts w:ascii="Wingdings" w:hAnsi="Wingdings" w:hint="default"/>
      </w:rPr>
    </w:lvl>
  </w:abstractNum>
  <w:abstractNum w:abstractNumId="24" w15:restartNumberingAfterBreak="0">
    <w:nsid w:val="33CC668D"/>
    <w:multiLevelType w:val="hybridMultilevel"/>
    <w:tmpl w:val="594C4DAE"/>
    <w:lvl w:ilvl="0" w:tplc="FDD809C0">
      <w:start w:val="1"/>
      <w:numFmt w:val="bullet"/>
      <w:pStyle w:val="Bullet4"/>
      <w:lvlText w:val=""/>
      <w:lvlJc w:val="left"/>
      <w:pPr>
        <w:tabs>
          <w:tab w:val="num" w:pos="2676"/>
        </w:tabs>
        <w:ind w:left="2676" w:hanging="357"/>
      </w:pPr>
      <w:rPr>
        <w:rFonts w:ascii="Symbol" w:hAnsi="Symbol" w:hint="default"/>
        <w:color w:val="000000"/>
      </w:rPr>
    </w:lvl>
    <w:lvl w:ilvl="1" w:tplc="763E853E" w:tentative="1">
      <w:start w:val="1"/>
      <w:numFmt w:val="bullet"/>
      <w:lvlText w:val="o"/>
      <w:lvlJc w:val="left"/>
      <w:pPr>
        <w:tabs>
          <w:tab w:val="num" w:pos="1440"/>
        </w:tabs>
        <w:ind w:left="1440" w:hanging="360"/>
      </w:pPr>
      <w:rPr>
        <w:rFonts w:ascii="Courier New" w:hAnsi="Courier New" w:cs="Courier New" w:hint="default"/>
      </w:rPr>
    </w:lvl>
    <w:lvl w:ilvl="2" w:tplc="0E6483F6" w:tentative="1">
      <w:start w:val="1"/>
      <w:numFmt w:val="bullet"/>
      <w:lvlText w:val=""/>
      <w:lvlJc w:val="left"/>
      <w:pPr>
        <w:tabs>
          <w:tab w:val="num" w:pos="2160"/>
        </w:tabs>
        <w:ind w:left="2160" w:hanging="360"/>
      </w:pPr>
      <w:rPr>
        <w:rFonts w:ascii="Wingdings" w:hAnsi="Wingdings" w:hint="default"/>
      </w:rPr>
    </w:lvl>
    <w:lvl w:ilvl="3" w:tplc="E2A0A1B2" w:tentative="1">
      <w:start w:val="1"/>
      <w:numFmt w:val="bullet"/>
      <w:lvlText w:val=""/>
      <w:lvlJc w:val="left"/>
      <w:pPr>
        <w:tabs>
          <w:tab w:val="num" w:pos="2880"/>
        </w:tabs>
        <w:ind w:left="2880" w:hanging="360"/>
      </w:pPr>
      <w:rPr>
        <w:rFonts w:ascii="Symbol" w:hAnsi="Symbol" w:hint="default"/>
      </w:rPr>
    </w:lvl>
    <w:lvl w:ilvl="4" w:tplc="BB1EEC18" w:tentative="1">
      <w:start w:val="1"/>
      <w:numFmt w:val="bullet"/>
      <w:lvlText w:val="o"/>
      <w:lvlJc w:val="left"/>
      <w:pPr>
        <w:tabs>
          <w:tab w:val="num" w:pos="3600"/>
        </w:tabs>
        <w:ind w:left="3600" w:hanging="360"/>
      </w:pPr>
      <w:rPr>
        <w:rFonts w:ascii="Courier New" w:hAnsi="Courier New" w:cs="Courier New" w:hint="default"/>
      </w:rPr>
    </w:lvl>
    <w:lvl w:ilvl="5" w:tplc="F8580756" w:tentative="1">
      <w:start w:val="1"/>
      <w:numFmt w:val="bullet"/>
      <w:lvlText w:val=""/>
      <w:lvlJc w:val="left"/>
      <w:pPr>
        <w:tabs>
          <w:tab w:val="num" w:pos="4320"/>
        </w:tabs>
        <w:ind w:left="4320" w:hanging="360"/>
      </w:pPr>
      <w:rPr>
        <w:rFonts w:ascii="Wingdings" w:hAnsi="Wingdings" w:hint="default"/>
      </w:rPr>
    </w:lvl>
    <w:lvl w:ilvl="6" w:tplc="A7F04EC6" w:tentative="1">
      <w:start w:val="1"/>
      <w:numFmt w:val="bullet"/>
      <w:lvlText w:val=""/>
      <w:lvlJc w:val="left"/>
      <w:pPr>
        <w:tabs>
          <w:tab w:val="num" w:pos="5040"/>
        </w:tabs>
        <w:ind w:left="5040" w:hanging="360"/>
      </w:pPr>
      <w:rPr>
        <w:rFonts w:ascii="Symbol" w:hAnsi="Symbol" w:hint="default"/>
      </w:rPr>
    </w:lvl>
    <w:lvl w:ilvl="7" w:tplc="9720220E" w:tentative="1">
      <w:start w:val="1"/>
      <w:numFmt w:val="bullet"/>
      <w:lvlText w:val="o"/>
      <w:lvlJc w:val="left"/>
      <w:pPr>
        <w:tabs>
          <w:tab w:val="num" w:pos="5760"/>
        </w:tabs>
        <w:ind w:left="5760" w:hanging="360"/>
      </w:pPr>
      <w:rPr>
        <w:rFonts w:ascii="Courier New" w:hAnsi="Courier New" w:cs="Courier New" w:hint="default"/>
      </w:rPr>
    </w:lvl>
    <w:lvl w:ilvl="8" w:tplc="BB763B1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6" w15:restartNumberingAfterBreak="0">
    <w:nsid w:val="38130038"/>
    <w:multiLevelType w:val="hybridMultilevel"/>
    <w:tmpl w:val="FF8A0FAE"/>
    <w:lvl w:ilvl="0" w:tplc="D0B6683A">
      <w:start w:val="1"/>
      <w:numFmt w:val="bullet"/>
      <w:pStyle w:val="ClauseBullet2"/>
      <w:lvlText w:val=""/>
      <w:lvlJc w:val="left"/>
      <w:pPr>
        <w:ind w:left="1440" w:hanging="360"/>
      </w:pPr>
      <w:rPr>
        <w:rFonts w:ascii="Symbol" w:hAnsi="Symbol" w:hint="default"/>
        <w:color w:val="000000"/>
      </w:rPr>
    </w:lvl>
    <w:lvl w:ilvl="1" w:tplc="E7A66E60" w:tentative="1">
      <w:start w:val="1"/>
      <w:numFmt w:val="bullet"/>
      <w:lvlText w:val="o"/>
      <w:lvlJc w:val="left"/>
      <w:pPr>
        <w:ind w:left="2160" w:hanging="360"/>
      </w:pPr>
      <w:rPr>
        <w:rFonts w:ascii="Courier New" w:hAnsi="Courier New" w:cs="Courier New" w:hint="default"/>
      </w:rPr>
    </w:lvl>
    <w:lvl w:ilvl="2" w:tplc="EA5EAE16" w:tentative="1">
      <w:start w:val="1"/>
      <w:numFmt w:val="bullet"/>
      <w:lvlText w:val=""/>
      <w:lvlJc w:val="left"/>
      <w:pPr>
        <w:ind w:left="2880" w:hanging="360"/>
      </w:pPr>
      <w:rPr>
        <w:rFonts w:ascii="Wingdings" w:hAnsi="Wingdings" w:hint="default"/>
      </w:rPr>
    </w:lvl>
    <w:lvl w:ilvl="3" w:tplc="F2AE8A74" w:tentative="1">
      <w:start w:val="1"/>
      <w:numFmt w:val="bullet"/>
      <w:lvlText w:val=""/>
      <w:lvlJc w:val="left"/>
      <w:pPr>
        <w:ind w:left="3600" w:hanging="360"/>
      </w:pPr>
      <w:rPr>
        <w:rFonts w:ascii="Symbol" w:hAnsi="Symbol" w:hint="default"/>
      </w:rPr>
    </w:lvl>
    <w:lvl w:ilvl="4" w:tplc="005638CA" w:tentative="1">
      <w:start w:val="1"/>
      <w:numFmt w:val="bullet"/>
      <w:lvlText w:val="o"/>
      <w:lvlJc w:val="left"/>
      <w:pPr>
        <w:ind w:left="4320" w:hanging="360"/>
      </w:pPr>
      <w:rPr>
        <w:rFonts w:ascii="Courier New" w:hAnsi="Courier New" w:cs="Courier New" w:hint="default"/>
      </w:rPr>
    </w:lvl>
    <w:lvl w:ilvl="5" w:tplc="E89C5BEE" w:tentative="1">
      <w:start w:val="1"/>
      <w:numFmt w:val="bullet"/>
      <w:lvlText w:val=""/>
      <w:lvlJc w:val="left"/>
      <w:pPr>
        <w:ind w:left="5040" w:hanging="360"/>
      </w:pPr>
      <w:rPr>
        <w:rFonts w:ascii="Wingdings" w:hAnsi="Wingdings" w:hint="default"/>
      </w:rPr>
    </w:lvl>
    <w:lvl w:ilvl="6" w:tplc="16DC5E90" w:tentative="1">
      <w:start w:val="1"/>
      <w:numFmt w:val="bullet"/>
      <w:lvlText w:val=""/>
      <w:lvlJc w:val="left"/>
      <w:pPr>
        <w:ind w:left="5760" w:hanging="360"/>
      </w:pPr>
      <w:rPr>
        <w:rFonts w:ascii="Symbol" w:hAnsi="Symbol" w:hint="default"/>
      </w:rPr>
    </w:lvl>
    <w:lvl w:ilvl="7" w:tplc="4DF66634" w:tentative="1">
      <w:start w:val="1"/>
      <w:numFmt w:val="bullet"/>
      <w:lvlText w:val="o"/>
      <w:lvlJc w:val="left"/>
      <w:pPr>
        <w:ind w:left="6480" w:hanging="360"/>
      </w:pPr>
      <w:rPr>
        <w:rFonts w:ascii="Courier New" w:hAnsi="Courier New" w:cs="Courier New" w:hint="default"/>
      </w:rPr>
    </w:lvl>
    <w:lvl w:ilvl="8" w:tplc="4A8C2F08" w:tentative="1">
      <w:start w:val="1"/>
      <w:numFmt w:val="bullet"/>
      <w:lvlText w:val=""/>
      <w:lvlJc w:val="left"/>
      <w:pPr>
        <w:ind w:left="7200" w:hanging="360"/>
      </w:pPr>
      <w:rPr>
        <w:rFonts w:ascii="Wingdings" w:hAnsi="Wingdings" w:hint="default"/>
      </w:rPr>
    </w:lvl>
  </w:abstractNum>
  <w:abstractNum w:abstractNumId="27" w15:restartNumberingAfterBreak="0">
    <w:nsid w:val="402E6DC1"/>
    <w:multiLevelType w:val="hybridMultilevel"/>
    <w:tmpl w:val="8AAEB3E8"/>
    <w:lvl w:ilvl="0" w:tplc="8B164BDA">
      <w:start w:val="1"/>
      <w:numFmt w:val="bullet"/>
      <w:lvlText w:val=""/>
      <w:lvlJc w:val="left"/>
      <w:pPr>
        <w:ind w:left="720" w:hanging="360"/>
      </w:pPr>
      <w:rPr>
        <w:rFonts w:ascii="Symbol" w:hAnsi="Symbol" w:hint="default"/>
        <w:color w:val="000000"/>
      </w:rPr>
    </w:lvl>
    <w:lvl w:ilvl="1" w:tplc="677A3340" w:tentative="1">
      <w:start w:val="1"/>
      <w:numFmt w:val="bullet"/>
      <w:lvlText w:val="o"/>
      <w:lvlJc w:val="left"/>
      <w:pPr>
        <w:ind w:left="1440" w:hanging="360"/>
      </w:pPr>
      <w:rPr>
        <w:rFonts w:ascii="Courier New" w:hAnsi="Courier New" w:cs="Courier New" w:hint="default"/>
      </w:rPr>
    </w:lvl>
    <w:lvl w:ilvl="2" w:tplc="A3A6943A" w:tentative="1">
      <w:start w:val="1"/>
      <w:numFmt w:val="bullet"/>
      <w:lvlText w:val=""/>
      <w:lvlJc w:val="left"/>
      <w:pPr>
        <w:ind w:left="2160" w:hanging="360"/>
      </w:pPr>
      <w:rPr>
        <w:rFonts w:ascii="Wingdings" w:hAnsi="Wingdings" w:hint="default"/>
      </w:rPr>
    </w:lvl>
    <w:lvl w:ilvl="3" w:tplc="217CDF72" w:tentative="1">
      <w:start w:val="1"/>
      <w:numFmt w:val="bullet"/>
      <w:lvlText w:val=""/>
      <w:lvlJc w:val="left"/>
      <w:pPr>
        <w:ind w:left="2880" w:hanging="360"/>
      </w:pPr>
      <w:rPr>
        <w:rFonts w:ascii="Symbol" w:hAnsi="Symbol" w:hint="default"/>
      </w:rPr>
    </w:lvl>
    <w:lvl w:ilvl="4" w:tplc="D40C4EA4" w:tentative="1">
      <w:start w:val="1"/>
      <w:numFmt w:val="bullet"/>
      <w:lvlText w:val="o"/>
      <w:lvlJc w:val="left"/>
      <w:pPr>
        <w:ind w:left="3600" w:hanging="360"/>
      </w:pPr>
      <w:rPr>
        <w:rFonts w:ascii="Courier New" w:hAnsi="Courier New" w:cs="Courier New" w:hint="default"/>
      </w:rPr>
    </w:lvl>
    <w:lvl w:ilvl="5" w:tplc="78108C6E" w:tentative="1">
      <w:start w:val="1"/>
      <w:numFmt w:val="bullet"/>
      <w:lvlText w:val=""/>
      <w:lvlJc w:val="left"/>
      <w:pPr>
        <w:ind w:left="4320" w:hanging="360"/>
      </w:pPr>
      <w:rPr>
        <w:rFonts w:ascii="Wingdings" w:hAnsi="Wingdings" w:hint="default"/>
      </w:rPr>
    </w:lvl>
    <w:lvl w:ilvl="6" w:tplc="DF80B49C" w:tentative="1">
      <w:start w:val="1"/>
      <w:numFmt w:val="bullet"/>
      <w:lvlText w:val=""/>
      <w:lvlJc w:val="left"/>
      <w:pPr>
        <w:ind w:left="5040" w:hanging="360"/>
      </w:pPr>
      <w:rPr>
        <w:rFonts w:ascii="Symbol" w:hAnsi="Symbol" w:hint="default"/>
      </w:rPr>
    </w:lvl>
    <w:lvl w:ilvl="7" w:tplc="6C5475C4" w:tentative="1">
      <w:start w:val="1"/>
      <w:numFmt w:val="bullet"/>
      <w:lvlText w:val="o"/>
      <w:lvlJc w:val="left"/>
      <w:pPr>
        <w:ind w:left="5760" w:hanging="360"/>
      </w:pPr>
      <w:rPr>
        <w:rFonts w:ascii="Courier New" w:hAnsi="Courier New" w:cs="Courier New" w:hint="default"/>
      </w:rPr>
    </w:lvl>
    <w:lvl w:ilvl="8" w:tplc="54DE479E" w:tentative="1">
      <w:start w:val="1"/>
      <w:numFmt w:val="bullet"/>
      <w:lvlText w:val=""/>
      <w:lvlJc w:val="left"/>
      <w:pPr>
        <w:ind w:left="6480" w:hanging="360"/>
      </w:pPr>
      <w:rPr>
        <w:rFonts w:ascii="Wingdings" w:hAnsi="Wingdings" w:hint="default"/>
      </w:rPr>
    </w:lvl>
  </w:abstractNum>
  <w:abstractNum w:abstractNumId="28" w15:restartNumberingAfterBreak="0">
    <w:nsid w:val="44D67987"/>
    <w:multiLevelType w:val="hybridMultilevel"/>
    <w:tmpl w:val="EBD6FB80"/>
    <w:lvl w:ilvl="0" w:tplc="D5D4B3E0">
      <w:start w:val="1"/>
      <w:numFmt w:val="bullet"/>
      <w:pStyle w:val="subclause1Bullet2"/>
      <w:lvlText w:val=""/>
      <w:lvlJc w:val="left"/>
      <w:pPr>
        <w:ind w:left="1440" w:hanging="360"/>
      </w:pPr>
      <w:rPr>
        <w:rFonts w:ascii="Symbol" w:hAnsi="Symbol" w:hint="default"/>
        <w:color w:val="000000"/>
      </w:rPr>
    </w:lvl>
    <w:lvl w:ilvl="1" w:tplc="4922F020" w:tentative="1">
      <w:start w:val="1"/>
      <w:numFmt w:val="bullet"/>
      <w:lvlText w:val="o"/>
      <w:lvlJc w:val="left"/>
      <w:pPr>
        <w:ind w:left="2160" w:hanging="360"/>
      </w:pPr>
      <w:rPr>
        <w:rFonts w:ascii="Courier New" w:hAnsi="Courier New" w:cs="Courier New" w:hint="default"/>
      </w:rPr>
    </w:lvl>
    <w:lvl w:ilvl="2" w:tplc="98A0B67E" w:tentative="1">
      <w:start w:val="1"/>
      <w:numFmt w:val="bullet"/>
      <w:lvlText w:val=""/>
      <w:lvlJc w:val="left"/>
      <w:pPr>
        <w:ind w:left="2880" w:hanging="360"/>
      </w:pPr>
      <w:rPr>
        <w:rFonts w:ascii="Wingdings" w:hAnsi="Wingdings" w:hint="default"/>
      </w:rPr>
    </w:lvl>
    <w:lvl w:ilvl="3" w:tplc="83FCBD7E" w:tentative="1">
      <w:start w:val="1"/>
      <w:numFmt w:val="bullet"/>
      <w:lvlText w:val=""/>
      <w:lvlJc w:val="left"/>
      <w:pPr>
        <w:ind w:left="3600" w:hanging="360"/>
      </w:pPr>
      <w:rPr>
        <w:rFonts w:ascii="Symbol" w:hAnsi="Symbol" w:hint="default"/>
      </w:rPr>
    </w:lvl>
    <w:lvl w:ilvl="4" w:tplc="32401226" w:tentative="1">
      <w:start w:val="1"/>
      <w:numFmt w:val="bullet"/>
      <w:lvlText w:val="o"/>
      <w:lvlJc w:val="left"/>
      <w:pPr>
        <w:ind w:left="4320" w:hanging="360"/>
      </w:pPr>
      <w:rPr>
        <w:rFonts w:ascii="Courier New" w:hAnsi="Courier New" w:cs="Courier New" w:hint="default"/>
      </w:rPr>
    </w:lvl>
    <w:lvl w:ilvl="5" w:tplc="97923378" w:tentative="1">
      <w:start w:val="1"/>
      <w:numFmt w:val="bullet"/>
      <w:lvlText w:val=""/>
      <w:lvlJc w:val="left"/>
      <w:pPr>
        <w:ind w:left="5040" w:hanging="360"/>
      </w:pPr>
      <w:rPr>
        <w:rFonts w:ascii="Wingdings" w:hAnsi="Wingdings" w:hint="default"/>
      </w:rPr>
    </w:lvl>
    <w:lvl w:ilvl="6" w:tplc="0504AA00" w:tentative="1">
      <w:start w:val="1"/>
      <w:numFmt w:val="bullet"/>
      <w:lvlText w:val=""/>
      <w:lvlJc w:val="left"/>
      <w:pPr>
        <w:ind w:left="5760" w:hanging="360"/>
      </w:pPr>
      <w:rPr>
        <w:rFonts w:ascii="Symbol" w:hAnsi="Symbol" w:hint="default"/>
      </w:rPr>
    </w:lvl>
    <w:lvl w:ilvl="7" w:tplc="33B86674" w:tentative="1">
      <w:start w:val="1"/>
      <w:numFmt w:val="bullet"/>
      <w:lvlText w:val="o"/>
      <w:lvlJc w:val="left"/>
      <w:pPr>
        <w:ind w:left="6480" w:hanging="360"/>
      </w:pPr>
      <w:rPr>
        <w:rFonts w:ascii="Courier New" w:hAnsi="Courier New" w:cs="Courier New" w:hint="default"/>
      </w:rPr>
    </w:lvl>
    <w:lvl w:ilvl="8" w:tplc="CCAEC78C" w:tentative="1">
      <w:start w:val="1"/>
      <w:numFmt w:val="bullet"/>
      <w:lvlText w:val=""/>
      <w:lvlJc w:val="left"/>
      <w:pPr>
        <w:ind w:left="7200" w:hanging="360"/>
      </w:pPr>
      <w:rPr>
        <w:rFonts w:ascii="Wingdings" w:hAnsi="Wingdings" w:hint="default"/>
      </w:rPr>
    </w:lvl>
  </w:abstractNum>
  <w:abstractNum w:abstractNumId="29" w15:restartNumberingAfterBreak="0">
    <w:nsid w:val="44E96665"/>
    <w:multiLevelType w:val="hybridMultilevel"/>
    <w:tmpl w:val="EF1E142A"/>
    <w:lvl w:ilvl="0" w:tplc="034A6960">
      <w:start w:val="1"/>
      <w:numFmt w:val="bullet"/>
      <w:pStyle w:val="subclause3Bullet1"/>
      <w:lvlText w:val=""/>
      <w:lvlJc w:val="left"/>
      <w:pPr>
        <w:ind w:left="2988" w:hanging="360"/>
      </w:pPr>
      <w:rPr>
        <w:rFonts w:ascii="Symbol" w:hAnsi="Symbol" w:hint="default"/>
        <w:color w:val="000000"/>
      </w:rPr>
    </w:lvl>
    <w:lvl w:ilvl="1" w:tplc="F2DC93A4" w:tentative="1">
      <w:start w:val="1"/>
      <w:numFmt w:val="bullet"/>
      <w:lvlText w:val="o"/>
      <w:lvlJc w:val="left"/>
      <w:pPr>
        <w:ind w:left="3708" w:hanging="360"/>
      </w:pPr>
      <w:rPr>
        <w:rFonts w:ascii="Courier New" w:hAnsi="Courier New" w:cs="Courier New" w:hint="default"/>
      </w:rPr>
    </w:lvl>
    <w:lvl w:ilvl="2" w:tplc="73028DAE" w:tentative="1">
      <w:start w:val="1"/>
      <w:numFmt w:val="bullet"/>
      <w:lvlText w:val=""/>
      <w:lvlJc w:val="left"/>
      <w:pPr>
        <w:ind w:left="4428" w:hanging="360"/>
      </w:pPr>
      <w:rPr>
        <w:rFonts w:ascii="Wingdings" w:hAnsi="Wingdings" w:hint="default"/>
      </w:rPr>
    </w:lvl>
    <w:lvl w:ilvl="3" w:tplc="C64CCFC0" w:tentative="1">
      <w:start w:val="1"/>
      <w:numFmt w:val="bullet"/>
      <w:lvlText w:val=""/>
      <w:lvlJc w:val="left"/>
      <w:pPr>
        <w:ind w:left="5148" w:hanging="360"/>
      </w:pPr>
      <w:rPr>
        <w:rFonts w:ascii="Symbol" w:hAnsi="Symbol" w:hint="default"/>
      </w:rPr>
    </w:lvl>
    <w:lvl w:ilvl="4" w:tplc="ABF8E0A6" w:tentative="1">
      <w:start w:val="1"/>
      <w:numFmt w:val="bullet"/>
      <w:lvlText w:val="o"/>
      <w:lvlJc w:val="left"/>
      <w:pPr>
        <w:ind w:left="5868" w:hanging="360"/>
      </w:pPr>
      <w:rPr>
        <w:rFonts w:ascii="Courier New" w:hAnsi="Courier New" w:cs="Courier New" w:hint="default"/>
      </w:rPr>
    </w:lvl>
    <w:lvl w:ilvl="5" w:tplc="F1920FAA" w:tentative="1">
      <w:start w:val="1"/>
      <w:numFmt w:val="bullet"/>
      <w:lvlText w:val=""/>
      <w:lvlJc w:val="left"/>
      <w:pPr>
        <w:ind w:left="6588" w:hanging="360"/>
      </w:pPr>
      <w:rPr>
        <w:rFonts w:ascii="Wingdings" w:hAnsi="Wingdings" w:hint="default"/>
      </w:rPr>
    </w:lvl>
    <w:lvl w:ilvl="6" w:tplc="530C6EEE" w:tentative="1">
      <w:start w:val="1"/>
      <w:numFmt w:val="bullet"/>
      <w:lvlText w:val=""/>
      <w:lvlJc w:val="left"/>
      <w:pPr>
        <w:ind w:left="7308" w:hanging="360"/>
      </w:pPr>
      <w:rPr>
        <w:rFonts w:ascii="Symbol" w:hAnsi="Symbol" w:hint="default"/>
      </w:rPr>
    </w:lvl>
    <w:lvl w:ilvl="7" w:tplc="189C97C8" w:tentative="1">
      <w:start w:val="1"/>
      <w:numFmt w:val="bullet"/>
      <w:lvlText w:val="o"/>
      <w:lvlJc w:val="left"/>
      <w:pPr>
        <w:ind w:left="8028" w:hanging="360"/>
      </w:pPr>
      <w:rPr>
        <w:rFonts w:ascii="Courier New" w:hAnsi="Courier New" w:cs="Courier New" w:hint="default"/>
      </w:rPr>
    </w:lvl>
    <w:lvl w:ilvl="8" w:tplc="4F445330" w:tentative="1">
      <w:start w:val="1"/>
      <w:numFmt w:val="bullet"/>
      <w:lvlText w:val=""/>
      <w:lvlJc w:val="left"/>
      <w:pPr>
        <w:ind w:left="8748" w:hanging="360"/>
      </w:pPr>
      <w:rPr>
        <w:rFonts w:ascii="Wingdings" w:hAnsi="Wingdings" w:hint="default"/>
      </w:rPr>
    </w:lvl>
  </w:abstractNum>
  <w:abstractNum w:abstractNumId="30" w15:restartNumberingAfterBreak="0">
    <w:nsid w:val="46AC04C6"/>
    <w:multiLevelType w:val="hybridMultilevel"/>
    <w:tmpl w:val="E6C47700"/>
    <w:lvl w:ilvl="0" w:tplc="49B4E33E">
      <w:start w:val="1"/>
      <w:numFmt w:val="bullet"/>
      <w:pStyle w:val="subclause2Bullet1"/>
      <w:lvlText w:val=""/>
      <w:lvlJc w:val="left"/>
      <w:pPr>
        <w:ind w:left="2279" w:hanging="360"/>
      </w:pPr>
      <w:rPr>
        <w:rFonts w:ascii="Symbol" w:hAnsi="Symbol" w:hint="default"/>
        <w:color w:val="000000"/>
      </w:rPr>
    </w:lvl>
    <w:lvl w:ilvl="1" w:tplc="84508486" w:tentative="1">
      <w:start w:val="1"/>
      <w:numFmt w:val="bullet"/>
      <w:lvlText w:val="o"/>
      <w:lvlJc w:val="left"/>
      <w:pPr>
        <w:ind w:left="2999" w:hanging="360"/>
      </w:pPr>
      <w:rPr>
        <w:rFonts w:ascii="Courier New" w:hAnsi="Courier New" w:cs="Courier New" w:hint="default"/>
      </w:rPr>
    </w:lvl>
    <w:lvl w:ilvl="2" w:tplc="8E828E50" w:tentative="1">
      <w:start w:val="1"/>
      <w:numFmt w:val="bullet"/>
      <w:lvlText w:val=""/>
      <w:lvlJc w:val="left"/>
      <w:pPr>
        <w:ind w:left="3719" w:hanging="360"/>
      </w:pPr>
      <w:rPr>
        <w:rFonts w:ascii="Wingdings" w:hAnsi="Wingdings" w:hint="default"/>
      </w:rPr>
    </w:lvl>
    <w:lvl w:ilvl="3" w:tplc="F7DC690E" w:tentative="1">
      <w:start w:val="1"/>
      <w:numFmt w:val="bullet"/>
      <w:lvlText w:val=""/>
      <w:lvlJc w:val="left"/>
      <w:pPr>
        <w:ind w:left="4439" w:hanging="360"/>
      </w:pPr>
      <w:rPr>
        <w:rFonts w:ascii="Symbol" w:hAnsi="Symbol" w:hint="default"/>
      </w:rPr>
    </w:lvl>
    <w:lvl w:ilvl="4" w:tplc="A0F692F2" w:tentative="1">
      <w:start w:val="1"/>
      <w:numFmt w:val="bullet"/>
      <w:lvlText w:val="o"/>
      <w:lvlJc w:val="left"/>
      <w:pPr>
        <w:ind w:left="5159" w:hanging="360"/>
      </w:pPr>
      <w:rPr>
        <w:rFonts w:ascii="Courier New" w:hAnsi="Courier New" w:cs="Courier New" w:hint="default"/>
      </w:rPr>
    </w:lvl>
    <w:lvl w:ilvl="5" w:tplc="F9D4059E" w:tentative="1">
      <w:start w:val="1"/>
      <w:numFmt w:val="bullet"/>
      <w:lvlText w:val=""/>
      <w:lvlJc w:val="left"/>
      <w:pPr>
        <w:ind w:left="5879" w:hanging="360"/>
      </w:pPr>
      <w:rPr>
        <w:rFonts w:ascii="Wingdings" w:hAnsi="Wingdings" w:hint="default"/>
      </w:rPr>
    </w:lvl>
    <w:lvl w:ilvl="6" w:tplc="ED4AF12E" w:tentative="1">
      <w:start w:val="1"/>
      <w:numFmt w:val="bullet"/>
      <w:lvlText w:val=""/>
      <w:lvlJc w:val="left"/>
      <w:pPr>
        <w:ind w:left="6599" w:hanging="360"/>
      </w:pPr>
      <w:rPr>
        <w:rFonts w:ascii="Symbol" w:hAnsi="Symbol" w:hint="default"/>
      </w:rPr>
    </w:lvl>
    <w:lvl w:ilvl="7" w:tplc="058874E0" w:tentative="1">
      <w:start w:val="1"/>
      <w:numFmt w:val="bullet"/>
      <w:lvlText w:val="o"/>
      <w:lvlJc w:val="left"/>
      <w:pPr>
        <w:ind w:left="7319" w:hanging="360"/>
      </w:pPr>
      <w:rPr>
        <w:rFonts w:ascii="Courier New" w:hAnsi="Courier New" w:cs="Courier New" w:hint="default"/>
      </w:rPr>
    </w:lvl>
    <w:lvl w:ilvl="8" w:tplc="154C47DE" w:tentative="1">
      <w:start w:val="1"/>
      <w:numFmt w:val="bullet"/>
      <w:lvlText w:val=""/>
      <w:lvlJc w:val="left"/>
      <w:pPr>
        <w:ind w:left="8039" w:hanging="360"/>
      </w:pPr>
      <w:rPr>
        <w:rFonts w:ascii="Wingdings" w:hAnsi="Wingdings" w:hint="default"/>
      </w:rPr>
    </w:lvl>
  </w:abstractNum>
  <w:abstractNum w:abstractNumId="31" w15:restartNumberingAfterBreak="0">
    <w:nsid w:val="47F42723"/>
    <w:multiLevelType w:val="hybridMultilevel"/>
    <w:tmpl w:val="C5A02EE6"/>
    <w:lvl w:ilvl="0" w:tplc="0152F48E">
      <w:start w:val="1"/>
      <w:numFmt w:val="bullet"/>
      <w:pStyle w:val="subclause1Bullet1"/>
      <w:lvlText w:val=""/>
      <w:lvlJc w:val="left"/>
      <w:pPr>
        <w:ind w:left="1440" w:hanging="360"/>
      </w:pPr>
      <w:rPr>
        <w:rFonts w:ascii="Symbol" w:hAnsi="Symbol" w:hint="default"/>
        <w:color w:val="000000"/>
      </w:rPr>
    </w:lvl>
    <w:lvl w:ilvl="1" w:tplc="713A437A" w:tentative="1">
      <w:start w:val="1"/>
      <w:numFmt w:val="bullet"/>
      <w:lvlText w:val="o"/>
      <w:lvlJc w:val="left"/>
      <w:pPr>
        <w:ind w:left="2160" w:hanging="360"/>
      </w:pPr>
      <w:rPr>
        <w:rFonts w:ascii="Courier New" w:hAnsi="Courier New" w:cs="Courier New" w:hint="default"/>
      </w:rPr>
    </w:lvl>
    <w:lvl w:ilvl="2" w:tplc="F36281E2" w:tentative="1">
      <w:start w:val="1"/>
      <w:numFmt w:val="bullet"/>
      <w:lvlText w:val=""/>
      <w:lvlJc w:val="left"/>
      <w:pPr>
        <w:ind w:left="2880" w:hanging="360"/>
      </w:pPr>
      <w:rPr>
        <w:rFonts w:ascii="Wingdings" w:hAnsi="Wingdings" w:hint="default"/>
      </w:rPr>
    </w:lvl>
    <w:lvl w:ilvl="3" w:tplc="34AE7F42" w:tentative="1">
      <w:start w:val="1"/>
      <w:numFmt w:val="bullet"/>
      <w:lvlText w:val=""/>
      <w:lvlJc w:val="left"/>
      <w:pPr>
        <w:ind w:left="3600" w:hanging="360"/>
      </w:pPr>
      <w:rPr>
        <w:rFonts w:ascii="Symbol" w:hAnsi="Symbol" w:hint="default"/>
      </w:rPr>
    </w:lvl>
    <w:lvl w:ilvl="4" w:tplc="A47A5B10" w:tentative="1">
      <w:start w:val="1"/>
      <w:numFmt w:val="bullet"/>
      <w:lvlText w:val="o"/>
      <w:lvlJc w:val="left"/>
      <w:pPr>
        <w:ind w:left="4320" w:hanging="360"/>
      </w:pPr>
      <w:rPr>
        <w:rFonts w:ascii="Courier New" w:hAnsi="Courier New" w:cs="Courier New" w:hint="default"/>
      </w:rPr>
    </w:lvl>
    <w:lvl w:ilvl="5" w:tplc="057E1A6A" w:tentative="1">
      <w:start w:val="1"/>
      <w:numFmt w:val="bullet"/>
      <w:lvlText w:val=""/>
      <w:lvlJc w:val="left"/>
      <w:pPr>
        <w:ind w:left="5040" w:hanging="360"/>
      </w:pPr>
      <w:rPr>
        <w:rFonts w:ascii="Wingdings" w:hAnsi="Wingdings" w:hint="default"/>
      </w:rPr>
    </w:lvl>
    <w:lvl w:ilvl="6" w:tplc="C8A6FC3A" w:tentative="1">
      <w:start w:val="1"/>
      <w:numFmt w:val="bullet"/>
      <w:lvlText w:val=""/>
      <w:lvlJc w:val="left"/>
      <w:pPr>
        <w:ind w:left="5760" w:hanging="360"/>
      </w:pPr>
      <w:rPr>
        <w:rFonts w:ascii="Symbol" w:hAnsi="Symbol" w:hint="default"/>
      </w:rPr>
    </w:lvl>
    <w:lvl w:ilvl="7" w:tplc="E11C96C0" w:tentative="1">
      <w:start w:val="1"/>
      <w:numFmt w:val="bullet"/>
      <w:lvlText w:val="o"/>
      <w:lvlJc w:val="left"/>
      <w:pPr>
        <w:ind w:left="6480" w:hanging="360"/>
      </w:pPr>
      <w:rPr>
        <w:rFonts w:ascii="Courier New" w:hAnsi="Courier New" w:cs="Courier New" w:hint="default"/>
      </w:rPr>
    </w:lvl>
    <w:lvl w:ilvl="8" w:tplc="EB5A832C" w:tentative="1">
      <w:start w:val="1"/>
      <w:numFmt w:val="bullet"/>
      <w:lvlText w:val=""/>
      <w:lvlJc w:val="left"/>
      <w:pPr>
        <w:ind w:left="7200" w:hanging="360"/>
      </w:pPr>
      <w:rPr>
        <w:rFonts w:ascii="Wingdings" w:hAnsi="Wingdings" w:hint="default"/>
      </w:rPr>
    </w:lvl>
  </w:abstractNum>
  <w:abstractNum w:abstractNumId="32" w15:restartNumberingAfterBreak="0">
    <w:nsid w:val="55CB0AF0"/>
    <w:multiLevelType w:val="hybridMultilevel"/>
    <w:tmpl w:val="EB98B43A"/>
    <w:lvl w:ilvl="0" w:tplc="93B883A0">
      <w:start w:val="1"/>
      <w:numFmt w:val="decimal"/>
      <w:pStyle w:val="LongQuestionPara"/>
      <w:lvlText w:val="%1."/>
      <w:lvlJc w:val="left"/>
      <w:pPr>
        <w:ind w:left="360" w:hanging="360"/>
      </w:pPr>
      <w:rPr>
        <w:rFonts w:hint="default"/>
        <w:b/>
        <w:i w:val="0"/>
        <w:color w:val="000000"/>
        <w:sz w:val="24"/>
      </w:rPr>
    </w:lvl>
    <w:lvl w:ilvl="1" w:tplc="F9548C68" w:tentative="1">
      <w:start w:val="1"/>
      <w:numFmt w:val="lowerLetter"/>
      <w:lvlText w:val="%2."/>
      <w:lvlJc w:val="left"/>
      <w:pPr>
        <w:ind w:left="1440" w:hanging="360"/>
      </w:pPr>
    </w:lvl>
    <w:lvl w:ilvl="2" w:tplc="EACE8C40" w:tentative="1">
      <w:start w:val="1"/>
      <w:numFmt w:val="lowerRoman"/>
      <w:lvlText w:val="%3."/>
      <w:lvlJc w:val="right"/>
      <w:pPr>
        <w:ind w:left="2160" w:hanging="180"/>
      </w:pPr>
    </w:lvl>
    <w:lvl w:ilvl="3" w:tplc="D7380E82" w:tentative="1">
      <w:start w:val="1"/>
      <w:numFmt w:val="decimal"/>
      <w:lvlText w:val="%4."/>
      <w:lvlJc w:val="left"/>
      <w:pPr>
        <w:ind w:left="2880" w:hanging="360"/>
      </w:pPr>
    </w:lvl>
    <w:lvl w:ilvl="4" w:tplc="DDA23096" w:tentative="1">
      <w:start w:val="1"/>
      <w:numFmt w:val="lowerLetter"/>
      <w:lvlText w:val="%5."/>
      <w:lvlJc w:val="left"/>
      <w:pPr>
        <w:ind w:left="3600" w:hanging="360"/>
      </w:pPr>
    </w:lvl>
    <w:lvl w:ilvl="5" w:tplc="6D1C46DC" w:tentative="1">
      <w:start w:val="1"/>
      <w:numFmt w:val="lowerRoman"/>
      <w:lvlText w:val="%6."/>
      <w:lvlJc w:val="right"/>
      <w:pPr>
        <w:ind w:left="4320" w:hanging="180"/>
      </w:pPr>
    </w:lvl>
    <w:lvl w:ilvl="6" w:tplc="CDD4F4C6" w:tentative="1">
      <w:start w:val="1"/>
      <w:numFmt w:val="decimal"/>
      <w:lvlText w:val="%7."/>
      <w:lvlJc w:val="left"/>
      <w:pPr>
        <w:ind w:left="5040" w:hanging="360"/>
      </w:pPr>
    </w:lvl>
    <w:lvl w:ilvl="7" w:tplc="E5CE9D94" w:tentative="1">
      <w:start w:val="1"/>
      <w:numFmt w:val="lowerLetter"/>
      <w:lvlText w:val="%8."/>
      <w:lvlJc w:val="left"/>
      <w:pPr>
        <w:ind w:left="5760" w:hanging="360"/>
      </w:pPr>
    </w:lvl>
    <w:lvl w:ilvl="8" w:tplc="C63C8C52" w:tentative="1">
      <w:start w:val="1"/>
      <w:numFmt w:val="lowerRoman"/>
      <w:lvlText w:val="%9."/>
      <w:lvlJc w:val="right"/>
      <w:pPr>
        <w:ind w:left="6480" w:hanging="180"/>
      </w:pPr>
    </w:lvl>
  </w:abstractNum>
  <w:abstractNum w:abstractNumId="33"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4" w15:restartNumberingAfterBreak="0">
    <w:nsid w:val="5D206610"/>
    <w:multiLevelType w:val="hybridMultilevel"/>
    <w:tmpl w:val="31700046"/>
    <w:lvl w:ilvl="0" w:tplc="6CA098CC">
      <w:start w:val="1"/>
      <w:numFmt w:val="lowerLetter"/>
      <w:lvlText w:val="(%1)"/>
      <w:lvlJc w:val="left"/>
      <w:pPr>
        <w:ind w:left="1440" w:hanging="360"/>
      </w:pPr>
      <w:rPr>
        <w:rFonts w:hint="default"/>
        <w:color w:val="000000"/>
      </w:rPr>
    </w:lvl>
    <w:lvl w:ilvl="1" w:tplc="32926B76" w:tentative="1">
      <w:start w:val="1"/>
      <w:numFmt w:val="lowerLetter"/>
      <w:lvlText w:val="%2."/>
      <w:lvlJc w:val="left"/>
      <w:pPr>
        <w:ind w:left="2160" w:hanging="360"/>
      </w:pPr>
    </w:lvl>
    <w:lvl w:ilvl="2" w:tplc="08A06328" w:tentative="1">
      <w:start w:val="1"/>
      <w:numFmt w:val="lowerRoman"/>
      <w:lvlText w:val="%3."/>
      <w:lvlJc w:val="right"/>
      <w:pPr>
        <w:ind w:left="2880" w:hanging="180"/>
      </w:pPr>
    </w:lvl>
    <w:lvl w:ilvl="3" w:tplc="5BFE98CC" w:tentative="1">
      <w:start w:val="1"/>
      <w:numFmt w:val="decimal"/>
      <w:lvlText w:val="%4."/>
      <w:lvlJc w:val="left"/>
      <w:pPr>
        <w:ind w:left="3600" w:hanging="360"/>
      </w:pPr>
    </w:lvl>
    <w:lvl w:ilvl="4" w:tplc="34C6D696" w:tentative="1">
      <w:start w:val="1"/>
      <w:numFmt w:val="lowerLetter"/>
      <w:lvlText w:val="%5."/>
      <w:lvlJc w:val="left"/>
      <w:pPr>
        <w:ind w:left="4320" w:hanging="360"/>
      </w:pPr>
    </w:lvl>
    <w:lvl w:ilvl="5" w:tplc="BAD6445E" w:tentative="1">
      <w:start w:val="1"/>
      <w:numFmt w:val="lowerRoman"/>
      <w:lvlText w:val="%6."/>
      <w:lvlJc w:val="right"/>
      <w:pPr>
        <w:ind w:left="5040" w:hanging="180"/>
      </w:pPr>
    </w:lvl>
    <w:lvl w:ilvl="6" w:tplc="5E7E8E2A" w:tentative="1">
      <w:start w:val="1"/>
      <w:numFmt w:val="decimal"/>
      <w:lvlText w:val="%7."/>
      <w:lvlJc w:val="left"/>
      <w:pPr>
        <w:ind w:left="5760" w:hanging="360"/>
      </w:pPr>
    </w:lvl>
    <w:lvl w:ilvl="7" w:tplc="7744D3C8" w:tentative="1">
      <w:start w:val="1"/>
      <w:numFmt w:val="lowerLetter"/>
      <w:lvlText w:val="%8."/>
      <w:lvlJc w:val="left"/>
      <w:pPr>
        <w:ind w:left="6480" w:hanging="360"/>
      </w:pPr>
    </w:lvl>
    <w:lvl w:ilvl="8" w:tplc="25EE80EA" w:tentative="1">
      <w:start w:val="1"/>
      <w:numFmt w:val="lowerRoman"/>
      <w:lvlText w:val="%9."/>
      <w:lvlJc w:val="right"/>
      <w:pPr>
        <w:ind w:left="7200" w:hanging="180"/>
      </w:pPr>
    </w:lvl>
  </w:abstractNum>
  <w:abstractNum w:abstractNumId="35" w15:restartNumberingAfterBreak="0">
    <w:nsid w:val="61071422"/>
    <w:multiLevelType w:val="hybridMultilevel"/>
    <w:tmpl w:val="59B858D8"/>
    <w:lvl w:ilvl="0" w:tplc="783AC434">
      <w:start w:val="1"/>
      <w:numFmt w:val="bullet"/>
      <w:pStyle w:val="ClauseBullet1"/>
      <w:lvlText w:val=""/>
      <w:lvlJc w:val="left"/>
      <w:pPr>
        <w:ind w:left="1080" w:hanging="360"/>
      </w:pPr>
      <w:rPr>
        <w:rFonts w:ascii="Symbol" w:hAnsi="Symbol" w:hint="default"/>
        <w:color w:val="000000"/>
      </w:rPr>
    </w:lvl>
    <w:lvl w:ilvl="1" w:tplc="832EFB66" w:tentative="1">
      <w:start w:val="1"/>
      <w:numFmt w:val="bullet"/>
      <w:lvlText w:val="o"/>
      <w:lvlJc w:val="left"/>
      <w:pPr>
        <w:ind w:left="1800" w:hanging="360"/>
      </w:pPr>
      <w:rPr>
        <w:rFonts w:ascii="Courier New" w:hAnsi="Courier New" w:cs="Courier New" w:hint="default"/>
      </w:rPr>
    </w:lvl>
    <w:lvl w:ilvl="2" w:tplc="39E0CE8C" w:tentative="1">
      <w:start w:val="1"/>
      <w:numFmt w:val="bullet"/>
      <w:lvlText w:val=""/>
      <w:lvlJc w:val="left"/>
      <w:pPr>
        <w:ind w:left="2520" w:hanging="360"/>
      </w:pPr>
      <w:rPr>
        <w:rFonts w:ascii="Wingdings" w:hAnsi="Wingdings" w:hint="default"/>
      </w:rPr>
    </w:lvl>
    <w:lvl w:ilvl="3" w:tplc="758868A6" w:tentative="1">
      <w:start w:val="1"/>
      <w:numFmt w:val="bullet"/>
      <w:lvlText w:val=""/>
      <w:lvlJc w:val="left"/>
      <w:pPr>
        <w:ind w:left="3240" w:hanging="360"/>
      </w:pPr>
      <w:rPr>
        <w:rFonts w:ascii="Symbol" w:hAnsi="Symbol" w:hint="default"/>
      </w:rPr>
    </w:lvl>
    <w:lvl w:ilvl="4" w:tplc="253CF256" w:tentative="1">
      <w:start w:val="1"/>
      <w:numFmt w:val="bullet"/>
      <w:lvlText w:val="o"/>
      <w:lvlJc w:val="left"/>
      <w:pPr>
        <w:ind w:left="3960" w:hanging="360"/>
      </w:pPr>
      <w:rPr>
        <w:rFonts w:ascii="Courier New" w:hAnsi="Courier New" w:cs="Courier New" w:hint="default"/>
      </w:rPr>
    </w:lvl>
    <w:lvl w:ilvl="5" w:tplc="92F8CF2C" w:tentative="1">
      <w:start w:val="1"/>
      <w:numFmt w:val="bullet"/>
      <w:lvlText w:val=""/>
      <w:lvlJc w:val="left"/>
      <w:pPr>
        <w:ind w:left="4680" w:hanging="360"/>
      </w:pPr>
      <w:rPr>
        <w:rFonts w:ascii="Wingdings" w:hAnsi="Wingdings" w:hint="default"/>
      </w:rPr>
    </w:lvl>
    <w:lvl w:ilvl="6" w:tplc="6270BA08" w:tentative="1">
      <w:start w:val="1"/>
      <w:numFmt w:val="bullet"/>
      <w:lvlText w:val=""/>
      <w:lvlJc w:val="left"/>
      <w:pPr>
        <w:ind w:left="5400" w:hanging="360"/>
      </w:pPr>
      <w:rPr>
        <w:rFonts w:ascii="Symbol" w:hAnsi="Symbol" w:hint="default"/>
      </w:rPr>
    </w:lvl>
    <w:lvl w:ilvl="7" w:tplc="63866098" w:tentative="1">
      <w:start w:val="1"/>
      <w:numFmt w:val="bullet"/>
      <w:lvlText w:val="o"/>
      <w:lvlJc w:val="left"/>
      <w:pPr>
        <w:ind w:left="6120" w:hanging="360"/>
      </w:pPr>
      <w:rPr>
        <w:rFonts w:ascii="Courier New" w:hAnsi="Courier New" w:cs="Courier New" w:hint="default"/>
      </w:rPr>
    </w:lvl>
    <w:lvl w:ilvl="8" w:tplc="FE4089FC" w:tentative="1">
      <w:start w:val="1"/>
      <w:numFmt w:val="bullet"/>
      <w:lvlText w:val=""/>
      <w:lvlJc w:val="left"/>
      <w:pPr>
        <w:ind w:left="6840" w:hanging="360"/>
      </w:pPr>
      <w:rPr>
        <w:rFonts w:ascii="Wingdings" w:hAnsi="Wingdings" w:hint="default"/>
      </w:rPr>
    </w:lvl>
  </w:abstractNum>
  <w:abstractNum w:abstractNumId="36" w15:restartNumberingAfterBreak="0">
    <w:nsid w:val="642371CD"/>
    <w:multiLevelType w:val="hybridMultilevel"/>
    <w:tmpl w:val="3B76A654"/>
    <w:lvl w:ilvl="0" w:tplc="6A84E9A4">
      <w:start w:val="1"/>
      <w:numFmt w:val="bullet"/>
      <w:pStyle w:val="subclause3Bullet2"/>
      <w:lvlText w:val=""/>
      <w:lvlJc w:val="left"/>
      <w:pPr>
        <w:ind w:left="3748" w:hanging="360"/>
      </w:pPr>
      <w:rPr>
        <w:rFonts w:ascii="Symbol" w:hAnsi="Symbol" w:hint="default"/>
        <w:color w:val="000000"/>
      </w:rPr>
    </w:lvl>
    <w:lvl w:ilvl="1" w:tplc="E16C9B8A" w:tentative="1">
      <w:start w:val="1"/>
      <w:numFmt w:val="bullet"/>
      <w:lvlText w:val="o"/>
      <w:lvlJc w:val="left"/>
      <w:pPr>
        <w:ind w:left="4468" w:hanging="360"/>
      </w:pPr>
      <w:rPr>
        <w:rFonts w:ascii="Courier New" w:hAnsi="Courier New" w:cs="Courier New" w:hint="default"/>
      </w:rPr>
    </w:lvl>
    <w:lvl w:ilvl="2" w:tplc="686C9300" w:tentative="1">
      <w:start w:val="1"/>
      <w:numFmt w:val="bullet"/>
      <w:lvlText w:val=""/>
      <w:lvlJc w:val="left"/>
      <w:pPr>
        <w:ind w:left="5188" w:hanging="360"/>
      </w:pPr>
      <w:rPr>
        <w:rFonts w:ascii="Wingdings" w:hAnsi="Wingdings" w:hint="default"/>
      </w:rPr>
    </w:lvl>
    <w:lvl w:ilvl="3" w:tplc="FCF84892" w:tentative="1">
      <w:start w:val="1"/>
      <w:numFmt w:val="bullet"/>
      <w:lvlText w:val=""/>
      <w:lvlJc w:val="left"/>
      <w:pPr>
        <w:ind w:left="5908" w:hanging="360"/>
      </w:pPr>
      <w:rPr>
        <w:rFonts w:ascii="Symbol" w:hAnsi="Symbol" w:hint="default"/>
      </w:rPr>
    </w:lvl>
    <w:lvl w:ilvl="4" w:tplc="933C0868" w:tentative="1">
      <w:start w:val="1"/>
      <w:numFmt w:val="bullet"/>
      <w:lvlText w:val="o"/>
      <w:lvlJc w:val="left"/>
      <w:pPr>
        <w:ind w:left="6628" w:hanging="360"/>
      </w:pPr>
      <w:rPr>
        <w:rFonts w:ascii="Courier New" w:hAnsi="Courier New" w:cs="Courier New" w:hint="default"/>
      </w:rPr>
    </w:lvl>
    <w:lvl w:ilvl="5" w:tplc="DCFC3530" w:tentative="1">
      <w:start w:val="1"/>
      <w:numFmt w:val="bullet"/>
      <w:lvlText w:val=""/>
      <w:lvlJc w:val="left"/>
      <w:pPr>
        <w:ind w:left="7348" w:hanging="360"/>
      </w:pPr>
      <w:rPr>
        <w:rFonts w:ascii="Wingdings" w:hAnsi="Wingdings" w:hint="default"/>
      </w:rPr>
    </w:lvl>
    <w:lvl w:ilvl="6" w:tplc="FDDA4D80" w:tentative="1">
      <w:start w:val="1"/>
      <w:numFmt w:val="bullet"/>
      <w:lvlText w:val=""/>
      <w:lvlJc w:val="left"/>
      <w:pPr>
        <w:ind w:left="8068" w:hanging="360"/>
      </w:pPr>
      <w:rPr>
        <w:rFonts w:ascii="Symbol" w:hAnsi="Symbol" w:hint="default"/>
      </w:rPr>
    </w:lvl>
    <w:lvl w:ilvl="7" w:tplc="C0C01382" w:tentative="1">
      <w:start w:val="1"/>
      <w:numFmt w:val="bullet"/>
      <w:lvlText w:val="o"/>
      <w:lvlJc w:val="left"/>
      <w:pPr>
        <w:ind w:left="8788" w:hanging="360"/>
      </w:pPr>
      <w:rPr>
        <w:rFonts w:ascii="Courier New" w:hAnsi="Courier New" w:cs="Courier New" w:hint="default"/>
      </w:rPr>
    </w:lvl>
    <w:lvl w:ilvl="8" w:tplc="E7AC708E" w:tentative="1">
      <w:start w:val="1"/>
      <w:numFmt w:val="bullet"/>
      <w:lvlText w:val=""/>
      <w:lvlJc w:val="left"/>
      <w:pPr>
        <w:ind w:left="9508" w:hanging="360"/>
      </w:pPr>
      <w:rPr>
        <w:rFonts w:ascii="Wingdings" w:hAnsi="Wingdings" w:hint="default"/>
      </w:rPr>
    </w:lvl>
  </w:abstractNum>
  <w:abstractNum w:abstractNumId="37"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8" w15:restartNumberingAfterBreak="0">
    <w:nsid w:val="6A14466B"/>
    <w:multiLevelType w:val="hybridMultilevel"/>
    <w:tmpl w:val="2402A666"/>
    <w:lvl w:ilvl="0" w:tplc="BEECD61A">
      <w:start w:val="1"/>
      <w:numFmt w:val="bullet"/>
      <w:pStyle w:val="BulletList1"/>
      <w:lvlText w:val="·"/>
      <w:lvlJc w:val="left"/>
      <w:pPr>
        <w:tabs>
          <w:tab w:val="num" w:pos="360"/>
        </w:tabs>
        <w:ind w:left="360" w:hanging="360"/>
      </w:pPr>
      <w:rPr>
        <w:rFonts w:ascii="Symbol" w:hAnsi="Symbol" w:hint="default"/>
        <w:color w:val="000000"/>
      </w:rPr>
    </w:lvl>
    <w:lvl w:ilvl="1" w:tplc="44503482" w:tentative="1">
      <w:start w:val="1"/>
      <w:numFmt w:val="bullet"/>
      <w:lvlText w:val="·"/>
      <w:lvlJc w:val="left"/>
      <w:pPr>
        <w:tabs>
          <w:tab w:val="num" w:pos="1440"/>
        </w:tabs>
        <w:ind w:left="1440" w:hanging="360"/>
      </w:pPr>
      <w:rPr>
        <w:rFonts w:ascii="Symbol" w:hAnsi="Symbol" w:hint="default"/>
      </w:rPr>
    </w:lvl>
    <w:lvl w:ilvl="2" w:tplc="C8D297A8" w:tentative="1">
      <w:start w:val="1"/>
      <w:numFmt w:val="bullet"/>
      <w:lvlText w:val="·"/>
      <w:lvlJc w:val="left"/>
      <w:pPr>
        <w:tabs>
          <w:tab w:val="num" w:pos="2160"/>
        </w:tabs>
        <w:ind w:left="2160" w:hanging="360"/>
      </w:pPr>
      <w:rPr>
        <w:rFonts w:ascii="Symbol" w:hAnsi="Symbol" w:hint="default"/>
      </w:rPr>
    </w:lvl>
    <w:lvl w:ilvl="3" w:tplc="B002EC82" w:tentative="1">
      <w:start w:val="1"/>
      <w:numFmt w:val="bullet"/>
      <w:lvlText w:val="·"/>
      <w:lvlJc w:val="left"/>
      <w:pPr>
        <w:tabs>
          <w:tab w:val="num" w:pos="2880"/>
        </w:tabs>
        <w:ind w:left="2880" w:hanging="360"/>
      </w:pPr>
      <w:rPr>
        <w:rFonts w:ascii="Symbol" w:hAnsi="Symbol" w:hint="default"/>
      </w:rPr>
    </w:lvl>
    <w:lvl w:ilvl="4" w:tplc="FE883B0C" w:tentative="1">
      <w:start w:val="1"/>
      <w:numFmt w:val="bullet"/>
      <w:lvlText w:val="o"/>
      <w:lvlJc w:val="left"/>
      <w:pPr>
        <w:tabs>
          <w:tab w:val="num" w:pos="3600"/>
        </w:tabs>
        <w:ind w:left="3600" w:hanging="360"/>
      </w:pPr>
      <w:rPr>
        <w:rFonts w:ascii="Courier New" w:hAnsi="Courier New" w:hint="default"/>
      </w:rPr>
    </w:lvl>
    <w:lvl w:ilvl="5" w:tplc="C0D42D18" w:tentative="1">
      <w:start w:val="1"/>
      <w:numFmt w:val="bullet"/>
      <w:lvlText w:val="§"/>
      <w:lvlJc w:val="left"/>
      <w:pPr>
        <w:tabs>
          <w:tab w:val="num" w:pos="4320"/>
        </w:tabs>
        <w:ind w:left="4320" w:hanging="360"/>
      </w:pPr>
      <w:rPr>
        <w:rFonts w:ascii="Wingdings" w:hAnsi="Wingdings" w:hint="default"/>
      </w:rPr>
    </w:lvl>
    <w:lvl w:ilvl="6" w:tplc="80FE2160" w:tentative="1">
      <w:start w:val="1"/>
      <w:numFmt w:val="bullet"/>
      <w:lvlText w:val="·"/>
      <w:lvlJc w:val="left"/>
      <w:pPr>
        <w:tabs>
          <w:tab w:val="num" w:pos="5040"/>
        </w:tabs>
        <w:ind w:left="5040" w:hanging="360"/>
      </w:pPr>
      <w:rPr>
        <w:rFonts w:ascii="Symbol" w:hAnsi="Symbol" w:hint="default"/>
      </w:rPr>
    </w:lvl>
    <w:lvl w:ilvl="7" w:tplc="AD6236FA" w:tentative="1">
      <w:start w:val="1"/>
      <w:numFmt w:val="bullet"/>
      <w:lvlText w:val="o"/>
      <w:lvlJc w:val="left"/>
      <w:pPr>
        <w:tabs>
          <w:tab w:val="num" w:pos="5760"/>
        </w:tabs>
        <w:ind w:left="5760" w:hanging="360"/>
      </w:pPr>
      <w:rPr>
        <w:rFonts w:ascii="Courier New" w:hAnsi="Courier New" w:hint="default"/>
      </w:rPr>
    </w:lvl>
    <w:lvl w:ilvl="8" w:tplc="8A3A5EC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2" w15:restartNumberingAfterBreak="0">
    <w:nsid w:val="78C31C79"/>
    <w:multiLevelType w:val="hybridMultilevel"/>
    <w:tmpl w:val="0BBA56BC"/>
    <w:lvl w:ilvl="0" w:tplc="BEC6649E">
      <w:start w:val="1"/>
      <w:numFmt w:val="decimal"/>
      <w:lvlText w:val="%1."/>
      <w:lvlJc w:val="left"/>
      <w:pPr>
        <w:ind w:left="1440" w:hanging="360"/>
      </w:pPr>
      <w:rPr>
        <w:color w:val="000000"/>
      </w:rPr>
    </w:lvl>
    <w:lvl w:ilvl="1" w:tplc="80CA5314" w:tentative="1">
      <w:start w:val="1"/>
      <w:numFmt w:val="lowerLetter"/>
      <w:lvlText w:val="%2."/>
      <w:lvlJc w:val="left"/>
      <w:pPr>
        <w:ind w:left="2160" w:hanging="360"/>
      </w:pPr>
    </w:lvl>
    <w:lvl w:ilvl="2" w:tplc="9C107D44" w:tentative="1">
      <w:start w:val="1"/>
      <w:numFmt w:val="lowerRoman"/>
      <w:lvlText w:val="%3."/>
      <w:lvlJc w:val="right"/>
      <w:pPr>
        <w:ind w:left="2880" w:hanging="180"/>
      </w:pPr>
    </w:lvl>
    <w:lvl w:ilvl="3" w:tplc="12C43EB8" w:tentative="1">
      <w:start w:val="1"/>
      <w:numFmt w:val="decimal"/>
      <w:lvlText w:val="%4."/>
      <w:lvlJc w:val="left"/>
      <w:pPr>
        <w:ind w:left="3600" w:hanging="360"/>
      </w:pPr>
    </w:lvl>
    <w:lvl w:ilvl="4" w:tplc="80D4D274" w:tentative="1">
      <w:start w:val="1"/>
      <w:numFmt w:val="lowerLetter"/>
      <w:lvlText w:val="%5."/>
      <w:lvlJc w:val="left"/>
      <w:pPr>
        <w:ind w:left="4320" w:hanging="360"/>
      </w:pPr>
    </w:lvl>
    <w:lvl w:ilvl="5" w:tplc="3BDA68E0" w:tentative="1">
      <w:start w:val="1"/>
      <w:numFmt w:val="lowerRoman"/>
      <w:lvlText w:val="%6."/>
      <w:lvlJc w:val="right"/>
      <w:pPr>
        <w:ind w:left="5040" w:hanging="180"/>
      </w:pPr>
    </w:lvl>
    <w:lvl w:ilvl="6" w:tplc="C0DAE604" w:tentative="1">
      <w:start w:val="1"/>
      <w:numFmt w:val="decimal"/>
      <w:lvlText w:val="%7."/>
      <w:lvlJc w:val="left"/>
      <w:pPr>
        <w:ind w:left="5760" w:hanging="360"/>
      </w:pPr>
    </w:lvl>
    <w:lvl w:ilvl="7" w:tplc="BF7A6250" w:tentative="1">
      <w:start w:val="1"/>
      <w:numFmt w:val="lowerLetter"/>
      <w:lvlText w:val="%8."/>
      <w:lvlJc w:val="left"/>
      <w:pPr>
        <w:ind w:left="6480" w:hanging="360"/>
      </w:pPr>
    </w:lvl>
    <w:lvl w:ilvl="8" w:tplc="33D6FB84" w:tentative="1">
      <w:start w:val="1"/>
      <w:numFmt w:val="lowerRoman"/>
      <w:lvlText w:val="%9."/>
      <w:lvlJc w:val="right"/>
      <w:pPr>
        <w:ind w:left="7200" w:hanging="180"/>
      </w:pPr>
    </w:lvl>
  </w:abstractNum>
  <w:abstractNum w:abstractNumId="43" w15:restartNumberingAfterBreak="0">
    <w:nsid w:val="7DB5644F"/>
    <w:multiLevelType w:val="hybridMultilevel"/>
    <w:tmpl w:val="8BCC9C08"/>
    <w:lvl w:ilvl="0" w:tplc="5B006E00">
      <w:start w:val="1"/>
      <w:numFmt w:val="bullet"/>
      <w:pStyle w:val="BulletList3"/>
      <w:lvlText w:val=""/>
      <w:lvlJc w:val="left"/>
      <w:pPr>
        <w:tabs>
          <w:tab w:val="num" w:pos="1945"/>
        </w:tabs>
        <w:ind w:left="1945" w:hanging="357"/>
      </w:pPr>
      <w:rPr>
        <w:rFonts w:ascii="Symbol" w:hAnsi="Symbol" w:hint="default"/>
        <w:color w:val="000000"/>
      </w:rPr>
    </w:lvl>
    <w:lvl w:ilvl="1" w:tplc="689CC1D2" w:tentative="1">
      <w:start w:val="1"/>
      <w:numFmt w:val="bullet"/>
      <w:lvlText w:val="o"/>
      <w:lvlJc w:val="left"/>
      <w:pPr>
        <w:tabs>
          <w:tab w:val="num" w:pos="1440"/>
        </w:tabs>
        <w:ind w:left="1440" w:hanging="360"/>
      </w:pPr>
      <w:rPr>
        <w:rFonts w:ascii="Courier New" w:hAnsi="Courier New" w:cs="Courier New" w:hint="default"/>
      </w:rPr>
    </w:lvl>
    <w:lvl w:ilvl="2" w:tplc="2F32F34C" w:tentative="1">
      <w:start w:val="1"/>
      <w:numFmt w:val="bullet"/>
      <w:lvlText w:val=""/>
      <w:lvlJc w:val="left"/>
      <w:pPr>
        <w:tabs>
          <w:tab w:val="num" w:pos="2160"/>
        </w:tabs>
        <w:ind w:left="2160" w:hanging="360"/>
      </w:pPr>
      <w:rPr>
        <w:rFonts w:ascii="Wingdings" w:hAnsi="Wingdings" w:hint="default"/>
      </w:rPr>
    </w:lvl>
    <w:lvl w:ilvl="3" w:tplc="564028D2" w:tentative="1">
      <w:start w:val="1"/>
      <w:numFmt w:val="bullet"/>
      <w:lvlText w:val=""/>
      <w:lvlJc w:val="left"/>
      <w:pPr>
        <w:tabs>
          <w:tab w:val="num" w:pos="2880"/>
        </w:tabs>
        <w:ind w:left="2880" w:hanging="360"/>
      </w:pPr>
      <w:rPr>
        <w:rFonts w:ascii="Symbol" w:hAnsi="Symbol" w:hint="default"/>
      </w:rPr>
    </w:lvl>
    <w:lvl w:ilvl="4" w:tplc="6478C894" w:tentative="1">
      <w:start w:val="1"/>
      <w:numFmt w:val="bullet"/>
      <w:lvlText w:val="o"/>
      <w:lvlJc w:val="left"/>
      <w:pPr>
        <w:tabs>
          <w:tab w:val="num" w:pos="3600"/>
        </w:tabs>
        <w:ind w:left="3600" w:hanging="360"/>
      </w:pPr>
      <w:rPr>
        <w:rFonts w:ascii="Courier New" w:hAnsi="Courier New" w:cs="Courier New" w:hint="default"/>
      </w:rPr>
    </w:lvl>
    <w:lvl w:ilvl="5" w:tplc="83C23954" w:tentative="1">
      <w:start w:val="1"/>
      <w:numFmt w:val="bullet"/>
      <w:lvlText w:val=""/>
      <w:lvlJc w:val="left"/>
      <w:pPr>
        <w:tabs>
          <w:tab w:val="num" w:pos="4320"/>
        </w:tabs>
        <w:ind w:left="4320" w:hanging="360"/>
      </w:pPr>
      <w:rPr>
        <w:rFonts w:ascii="Wingdings" w:hAnsi="Wingdings" w:hint="default"/>
      </w:rPr>
    </w:lvl>
    <w:lvl w:ilvl="6" w:tplc="AF3C41D4" w:tentative="1">
      <w:start w:val="1"/>
      <w:numFmt w:val="bullet"/>
      <w:lvlText w:val=""/>
      <w:lvlJc w:val="left"/>
      <w:pPr>
        <w:tabs>
          <w:tab w:val="num" w:pos="5040"/>
        </w:tabs>
        <w:ind w:left="5040" w:hanging="360"/>
      </w:pPr>
      <w:rPr>
        <w:rFonts w:ascii="Symbol" w:hAnsi="Symbol" w:hint="default"/>
      </w:rPr>
    </w:lvl>
    <w:lvl w:ilvl="7" w:tplc="C8E4540E" w:tentative="1">
      <w:start w:val="1"/>
      <w:numFmt w:val="bullet"/>
      <w:lvlText w:val="o"/>
      <w:lvlJc w:val="left"/>
      <w:pPr>
        <w:tabs>
          <w:tab w:val="num" w:pos="5760"/>
        </w:tabs>
        <w:ind w:left="5760" w:hanging="360"/>
      </w:pPr>
      <w:rPr>
        <w:rFonts w:ascii="Courier New" w:hAnsi="Courier New" w:cs="Courier New" w:hint="default"/>
      </w:rPr>
    </w:lvl>
    <w:lvl w:ilvl="8" w:tplc="2C1C72F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B56450"/>
    <w:multiLevelType w:val="multilevel"/>
    <w:tmpl w:val="B5EA651E"/>
    <w:lvl w:ilvl="0">
      <w:start w:val="1"/>
      <w:numFmt w:val="decimal"/>
      <w:lvlText w:val="Schedule %1"/>
      <w:lvlJc w:val="left"/>
      <w:pPr>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5"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6" w15:restartNumberingAfterBreak="0">
    <w:nsid w:val="7DB56452"/>
    <w:multiLevelType w:val="multilevel"/>
    <w:tmpl w:val="7DB56451"/>
    <w:numStyleLink w:val="ScheduleListStyle"/>
  </w:abstractNum>
  <w:abstractNum w:abstractNumId="47" w15:restartNumberingAfterBreak="0">
    <w:nsid w:val="7DB56453"/>
    <w:multiLevelType w:val="multilevel"/>
    <w:tmpl w:val="7DB56451"/>
    <w:numStyleLink w:val="ScheduleListStyle"/>
  </w:abstractNum>
  <w:abstractNum w:abstractNumId="48" w15:restartNumberingAfterBreak="0">
    <w:nsid w:val="7DB56454"/>
    <w:multiLevelType w:val="multilevel"/>
    <w:tmpl w:val="B5EA651E"/>
    <w:lvl w:ilvl="0">
      <w:start w:val="1"/>
      <w:numFmt w:val="decimal"/>
      <w:lvlText w:val="Part %1"/>
      <w:lvlJc w:val="left"/>
      <w:pPr>
        <w:tabs>
          <w:tab w:val="num" w:pos="0"/>
        </w:tabs>
        <w:ind w:left="357" w:hanging="357"/>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9" w15:restartNumberingAfterBreak="0">
    <w:nsid w:val="7DB56455"/>
    <w:multiLevelType w:val="multilevel"/>
    <w:tmpl w:val="7DB56455"/>
    <w:styleLink w:val="PartListStyle"/>
    <w:lvl w:ilvl="0">
      <w:start w:val="1"/>
      <w:numFmt w:val="decimal"/>
      <w:lvlText w:val="Part %1"/>
      <w:lvlJc w:val="left"/>
      <w:pPr>
        <w:tabs>
          <w:tab w:val="num" w:pos="0"/>
        </w:tabs>
        <w:ind w:left="357" w:hanging="357"/>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50" w15:restartNumberingAfterBreak="0">
    <w:nsid w:val="7DB56456"/>
    <w:multiLevelType w:val="multilevel"/>
    <w:tmpl w:val="7DB56455"/>
    <w:numStyleLink w:val="PartListStyle"/>
  </w:abstractNum>
  <w:abstractNum w:abstractNumId="51" w15:restartNumberingAfterBreak="0">
    <w:nsid w:val="7DB56457"/>
    <w:multiLevelType w:val="multilevel"/>
    <w:tmpl w:val="7DB56455"/>
    <w:numStyleLink w:val="PartListStyle"/>
  </w:abstractNum>
  <w:abstractNum w:abstractNumId="52" w15:restartNumberingAfterBreak="0">
    <w:nsid w:val="7DB56458"/>
    <w:multiLevelType w:val="multilevel"/>
    <w:tmpl w:val="B5EA651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53" w15:restartNumberingAfterBreak="0">
    <w:nsid w:val="7DB56459"/>
    <w:multiLevelType w:val="multilevel"/>
    <w:tmpl w:val="7DB56459"/>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54" w15:restartNumberingAfterBreak="0">
    <w:nsid w:val="7DB5645A"/>
    <w:multiLevelType w:val="multilevel"/>
    <w:tmpl w:val="7DB56459"/>
    <w:numStyleLink w:val="ClauseListStyle"/>
  </w:abstractNum>
  <w:abstractNum w:abstractNumId="55" w15:restartNumberingAfterBreak="0">
    <w:nsid w:val="7DB5645B"/>
    <w:multiLevelType w:val="multilevel"/>
    <w:tmpl w:val="7DB56459"/>
    <w:numStyleLink w:val="ClauseListStyle"/>
  </w:abstractNum>
  <w:num w:numId="1" w16cid:durableId="1657105776">
    <w:abstractNumId w:val="37"/>
  </w:num>
  <w:num w:numId="2" w16cid:durableId="1174997854">
    <w:abstractNumId w:val="38"/>
  </w:num>
  <w:num w:numId="3" w16cid:durableId="388573484">
    <w:abstractNumId w:val="22"/>
  </w:num>
  <w:num w:numId="4" w16cid:durableId="107166123">
    <w:abstractNumId w:val="43"/>
  </w:num>
  <w:num w:numId="5" w16cid:durableId="1787651007">
    <w:abstractNumId w:val="40"/>
  </w:num>
  <w:num w:numId="6" w16cid:durableId="722869215">
    <w:abstractNumId w:val="16"/>
  </w:num>
  <w:num w:numId="7" w16cid:durableId="445806487">
    <w:abstractNumId w:val="25"/>
  </w:num>
  <w:num w:numId="8" w16cid:durableId="616563963">
    <w:abstractNumId w:val="24"/>
  </w:num>
  <w:num w:numId="9" w16cid:durableId="1451126592">
    <w:abstractNumId w:val="20"/>
  </w:num>
  <w:num w:numId="10" w16cid:durableId="593053193">
    <w:abstractNumId w:val="33"/>
  </w:num>
  <w:num w:numId="11" w16cid:durableId="294261452">
    <w:abstractNumId w:val="19"/>
  </w:num>
  <w:num w:numId="12" w16cid:durableId="50083546">
    <w:abstractNumId w:val="32"/>
  </w:num>
  <w:num w:numId="13" w16cid:durableId="2112044963">
    <w:abstractNumId w:val="35"/>
  </w:num>
  <w:num w:numId="14" w16cid:durableId="196282425">
    <w:abstractNumId w:val="26"/>
  </w:num>
  <w:num w:numId="15" w16cid:durableId="99419246">
    <w:abstractNumId w:val="31"/>
  </w:num>
  <w:num w:numId="16" w16cid:durableId="259800515">
    <w:abstractNumId w:val="29"/>
  </w:num>
  <w:num w:numId="17" w16cid:durableId="15471532">
    <w:abstractNumId w:val="30"/>
  </w:num>
  <w:num w:numId="18" w16cid:durableId="117378506">
    <w:abstractNumId w:val="28"/>
  </w:num>
  <w:num w:numId="19" w16cid:durableId="617877989">
    <w:abstractNumId w:val="21"/>
  </w:num>
  <w:num w:numId="20" w16cid:durableId="195773953">
    <w:abstractNumId w:val="36"/>
  </w:num>
  <w:num w:numId="21" w16cid:durableId="1502621099">
    <w:abstractNumId w:val="11"/>
  </w:num>
  <w:num w:numId="22" w16cid:durableId="1796948203">
    <w:abstractNumId w:val="14"/>
  </w:num>
  <w:num w:numId="23" w16cid:durableId="700669070">
    <w:abstractNumId w:val="10"/>
  </w:num>
  <w:num w:numId="24" w16cid:durableId="1416635397">
    <w:abstractNumId w:val="39"/>
  </w:num>
  <w:num w:numId="25" w16cid:durableId="1074930333">
    <w:abstractNumId w:val="41"/>
  </w:num>
  <w:num w:numId="26" w16cid:durableId="773743061">
    <w:abstractNumId w:val="15"/>
  </w:num>
  <w:num w:numId="27" w16cid:durableId="1168250932">
    <w:abstractNumId w:val="18"/>
  </w:num>
  <w:num w:numId="28" w16cid:durableId="1285423289">
    <w:abstractNumId w:val="34"/>
  </w:num>
  <w:num w:numId="29" w16cid:durableId="424494977">
    <w:abstractNumId w:val="9"/>
  </w:num>
  <w:num w:numId="30" w16cid:durableId="1384796660">
    <w:abstractNumId w:val="7"/>
  </w:num>
  <w:num w:numId="31" w16cid:durableId="848713777">
    <w:abstractNumId w:val="6"/>
  </w:num>
  <w:num w:numId="32" w16cid:durableId="1596326253">
    <w:abstractNumId w:val="5"/>
  </w:num>
  <w:num w:numId="33" w16cid:durableId="2058579304">
    <w:abstractNumId w:val="4"/>
  </w:num>
  <w:num w:numId="34" w16cid:durableId="694769181">
    <w:abstractNumId w:val="8"/>
  </w:num>
  <w:num w:numId="35" w16cid:durableId="1856458507">
    <w:abstractNumId w:val="3"/>
  </w:num>
  <w:num w:numId="36" w16cid:durableId="163326435">
    <w:abstractNumId w:val="2"/>
  </w:num>
  <w:num w:numId="37" w16cid:durableId="1678656214">
    <w:abstractNumId w:val="1"/>
  </w:num>
  <w:num w:numId="38" w16cid:durableId="1943104195">
    <w:abstractNumId w:val="0"/>
  </w:num>
  <w:num w:numId="39" w16cid:durableId="8247857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32774257">
    <w:abstractNumId w:val="13"/>
  </w:num>
  <w:num w:numId="41" w16cid:durableId="2012635144">
    <w:abstractNumId w:val="10"/>
  </w:num>
  <w:num w:numId="42" w16cid:durableId="1112017520">
    <w:abstractNumId w:val="42"/>
  </w:num>
  <w:num w:numId="43" w16cid:durableId="746074587">
    <w:abstractNumId w:val="12"/>
  </w:num>
  <w:num w:numId="44" w16cid:durableId="596789841">
    <w:abstractNumId w:val="17"/>
  </w:num>
  <w:num w:numId="45" w16cid:durableId="1811095689">
    <w:abstractNumId w:val="27"/>
  </w:num>
  <w:num w:numId="46" w16cid:durableId="10925075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9757515">
    <w:abstractNumId w:val="23"/>
  </w:num>
  <w:num w:numId="48" w16cid:durableId="1159346382">
    <w:abstractNumId w:val="10"/>
  </w:num>
  <w:num w:numId="49" w16cid:durableId="1662392198">
    <w:abstractNumId w:val="44"/>
  </w:num>
  <w:num w:numId="50" w16cid:durableId="1524369029">
    <w:abstractNumId w:val="45"/>
  </w:num>
  <w:num w:numId="51" w16cid:durableId="1273319950">
    <w:abstractNumId w:val="46"/>
  </w:num>
  <w:num w:numId="52" w16cid:durableId="1382897127">
    <w:abstractNumId w:val="47"/>
  </w:num>
  <w:num w:numId="53" w16cid:durableId="2028290998">
    <w:abstractNumId w:val="48"/>
  </w:num>
  <w:num w:numId="54" w16cid:durableId="1469468422">
    <w:abstractNumId w:val="49"/>
  </w:num>
  <w:num w:numId="55" w16cid:durableId="1193305948">
    <w:abstractNumId w:val="50"/>
  </w:num>
  <w:num w:numId="56" w16cid:durableId="592781792">
    <w:abstractNumId w:val="51"/>
  </w:num>
  <w:num w:numId="57" w16cid:durableId="1034425670">
    <w:abstractNumId w:val="52"/>
  </w:num>
  <w:num w:numId="58" w16cid:durableId="1941795606">
    <w:abstractNumId w:val="53"/>
  </w:num>
  <w:num w:numId="59" w16cid:durableId="608005849">
    <w:abstractNumId w:val="54"/>
  </w:num>
  <w:num w:numId="60" w16cid:durableId="422342607">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PartsVariable" w:val="&lt;docParts&gt;_x000d__x000a_  &lt;Precedent&gt;agreement&lt;/Precedent&gt;_x000d__x000a_  &lt;Operative&gt;clause&lt;/Operative&gt;_x000d__x000a_  &lt;TemplateType&gt;null&lt;/TemplateType&gt;_x000d__x000a_  &lt;SignaturePageBreakType&gt;Yes without message&lt;/SignaturePageBreakType&gt;_x000d__x000a_&lt;/docParts&gt;"/>
    <w:docVar w:name="gentXMLPartID" w:val="{0CC07CB4-11F5-47B4-AD2C-4AAF36F2CDA5}"/>
  </w:docVars>
  <w:rsids>
    <w:rsidRoot w:val="00074F36"/>
    <w:rsid w:val="00074F36"/>
    <w:rsid w:val="006F786A"/>
    <w:rsid w:val="00AB0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44B9"/>
  <w15:docId w15:val="{E8E8D748-D82F-4396-94A0-0F65C105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8A1"/>
    <w:pPr>
      <w:spacing w:after="160" w:line="259" w:lineRule="auto"/>
    </w:pPr>
    <w:rPr>
      <w:rFonts w:eastAsiaTheme="minorHAnsi"/>
      <w:kern w:val="2"/>
      <w:lang w:eastAsia="en-US"/>
      <w14:ligatures w14:val="standardContextual"/>
    </w:rPr>
  </w:style>
  <w:style w:type="paragraph" w:styleId="Heading1">
    <w:name w:val="heading 1"/>
    <w:basedOn w:val="Normal"/>
    <w:next w:val="Normal"/>
    <w:link w:val="Heading1Char"/>
    <w:uiPriority w:val="9"/>
    <w:qFormat/>
    <w:rsid w:val="001C2319"/>
    <w:pPr>
      <w:keepNext/>
      <w:keepLines/>
      <w:numPr>
        <w:numId w:val="10"/>
      </w:numPr>
      <w:spacing w:before="480" w:after="0"/>
      <w:outlineLvl w:val="0"/>
    </w:pPr>
    <w:rPr>
      <w:rFonts w:asciiTheme="majorHAnsi" w:eastAsiaTheme="majorEastAsia" w:hAnsiTheme="majorHAnsi" w:cstheme="majorBidi"/>
      <w:b/>
      <w:bCs/>
      <w:color w:val="000000"/>
      <w:sz w:val="28"/>
      <w:szCs w:val="28"/>
    </w:rPr>
  </w:style>
  <w:style w:type="paragraph" w:styleId="Heading2">
    <w:name w:val="heading 2"/>
    <w:basedOn w:val="Normal"/>
    <w:next w:val="Normal"/>
    <w:link w:val="Heading2Char"/>
    <w:uiPriority w:val="9"/>
    <w:semiHidden/>
    <w:unhideWhenUsed/>
    <w:qFormat/>
    <w:rsid w:val="001C2319"/>
    <w:pPr>
      <w:keepNext/>
      <w:keepLines/>
      <w:numPr>
        <w:ilvl w:val="1"/>
        <w:numId w:val="10"/>
      </w:numPr>
      <w:spacing w:before="200" w:after="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unhideWhenUsed/>
    <w:qFormat/>
    <w:rsid w:val="001C2319"/>
    <w:pPr>
      <w:keepNext/>
      <w:keepLines/>
      <w:numPr>
        <w:ilvl w:val="2"/>
        <w:numId w:val="10"/>
      </w:numPr>
      <w:spacing w:before="200" w:after="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unhideWhenUsed/>
    <w:qFormat/>
    <w:rsid w:val="001C2319"/>
    <w:pPr>
      <w:keepNext/>
      <w:keepLines/>
      <w:numPr>
        <w:ilvl w:val="3"/>
        <w:numId w:val="10"/>
      </w:numPr>
      <w:spacing w:before="200" w:after="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unhideWhenUsed/>
    <w:qFormat/>
    <w:rsid w:val="001C2319"/>
    <w:pPr>
      <w:keepNext/>
      <w:keepLines/>
      <w:numPr>
        <w:ilvl w:val="4"/>
        <w:numId w:val="10"/>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1C2319"/>
    <w:pPr>
      <w:keepNext/>
      <w:keepLines/>
      <w:numPr>
        <w:ilvl w:val="5"/>
        <w:numId w:val="10"/>
      </w:numPr>
      <w:spacing w:before="200" w:after="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unhideWhenUsed/>
    <w:qFormat/>
    <w:rsid w:val="001C2319"/>
    <w:pPr>
      <w:keepNext/>
      <w:keepLines/>
      <w:numPr>
        <w:ilvl w:val="6"/>
        <w:numId w:val="10"/>
      </w:numPr>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1C2319"/>
    <w:pPr>
      <w:keepNext/>
      <w:keepLines/>
      <w:numPr>
        <w:ilvl w:val="7"/>
        <w:numId w:val="10"/>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1C2319"/>
    <w:pPr>
      <w:keepNext/>
      <w:keepLines/>
      <w:numPr>
        <w:ilvl w:val="8"/>
        <w:numId w:val="10"/>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AB08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08A1"/>
  </w:style>
  <w:style w:type="paragraph" w:customStyle="1" w:styleId="Abstract">
    <w:name w:val="Abstract"/>
    <w:link w:val="AbstractChar"/>
    <w:rsid w:val="001C2319"/>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1C2319"/>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1C2319"/>
    <w:pPr>
      <w:numPr>
        <w:numId w:val="11"/>
      </w:numPr>
      <w:spacing w:before="240" w:after="240"/>
      <w:ind w:left="0" w:firstLine="0"/>
    </w:pPr>
    <w:rPr>
      <w:b/>
    </w:rPr>
  </w:style>
  <w:style w:type="paragraph" w:customStyle="1" w:styleId="AuthoringGroup">
    <w:name w:val="Authoring Group"/>
    <w:link w:val="AuthoringGroupChar"/>
    <w:rsid w:val="001C2319"/>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1C2319"/>
    <w:rPr>
      <w:rFonts w:ascii="Arial" w:eastAsia="Arial Unicode MS" w:hAnsi="Arial" w:cs="Arial"/>
      <w:color w:val="000000"/>
      <w:sz w:val="24"/>
      <w:lang w:val="en-US" w:eastAsia="en-US"/>
    </w:rPr>
  </w:style>
  <w:style w:type="paragraph" w:customStyle="1" w:styleId="Background">
    <w:name w:val="Background"/>
    <w:aliases w:val="(A) Background"/>
    <w:basedOn w:val="Normal"/>
    <w:rsid w:val="001C2319"/>
    <w:pPr>
      <w:numPr>
        <w:numId w:val="1"/>
      </w:numPr>
      <w:spacing w:before="120" w:after="120" w:line="300" w:lineRule="atLeast"/>
      <w:jc w:val="both"/>
    </w:pPr>
    <w:rPr>
      <w:rFonts w:ascii="Arial" w:eastAsia="Arial Unicode MS" w:hAnsi="Arial" w:cs="Arial"/>
      <w:color w:val="000000"/>
      <w:szCs w:val="20"/>
    </w:rPr>
  </w:style>
  <w:style w:type="paragraph" w:customStyle="1" w:styleId="BulletList1">
    <w:name w:val="Bullet List 1"/>
    <w:aliases w:val="Bullet1"/>
    <w:basedOn w:val="Normal"/>
    <w:rsid w:val="001C2319"/>
    <w:pPr>
      <w:numPr>
        <w:numId w:val="2"/>
      </w:numPr>
      <w:spacing w:after="240" w:line="300" w:lineRule="atLeast"/>
      <w:jc w:val="both"/>
    </w:pPr>
    <w:rPr>
      <w:rFonts w:ascii="Arial" w:eastAsia="Arial Unicode MS" w:hAnsi="Arial" w:cs="Arial"/>
      <w:color w:val="000000"/>
      <w:szCs w:val="20"/>
    </w:rPr>
  </w:style>
  <w:style w:type="paragraph" w:customStyle="1" w:styleId="BulletList2">
    <w:name w:val="Bullet List 2"/>
    <w:aliases w:val="Bullet2"/>
    <w:basedOn w:val="Normal"/>
    <w:rsid w:val="001C2319"/>
    <w:pPr>
      <w:numPr>
        <w:numId w:val="3"/>
      </w:numPr>
      <w:spacing w:after="120" w:line="240" w:lineRule="auto"/>
      <w:ind w:left="1080" w:hanging="720"/>
      <w:jc w:val="both"/>
    </w:pPr>
    <w:rPr>
      <w:rFonts w:ascii="Arial" w:eastAsia="Arial Unicode MS" w:hAnsi="Arial" w:cs="Arial"/>
      <w:color w:val="000000"/>
      <w:szCs w:val="20"/>
    </w:rPr>
  </w:style>
  <w:style w:type="paragraph" w:customStyle="1" w:styleId="BulletList3">
    <w:name w:val="Bullet List 3"/>
    <w:aliases w:val="Bullet3"/>
    <w:basedOn w:val="Normal"/>
    <w:rsid w:val="001C2319"/>
    <w:pPr>
      <w:numPr>
        <w:numId w:val="4"/>
      </w:numPr>
      <w:spacing w:after="240" w:line="240" w:lineRule="auto"/>
      <w:jc w:val="both"/>
    </w:pPr>
    <w:rPr>
      <w:rFonts w:ascii="Arial" w:eastAsia="Arial Unicode MS" w:hAnsi="Arial" w:cs="Arial"/>
      <w:color w:val="000000"/>
      <w:szCs w:val="20"/>
    </w:rPr>
  </w:style>
  <w:style w:type="paragraph" w:customStyle="1" w:styleId="TitleClause">
    <w:name w:val="Title Clause"/>
    <w:basedOn w:val="Normal"/>
    <w:rsid w:val="001C2319"/>
    <w:pPr>
      <w:keepNext/>
      <w:numPr>
        <w:numId w:val="48"/>
      </w:numPr>
      <w:spacing w:before="240" w:after="240" w:line="300" w:lineRule="atLeast"/>
      <w:jc w:val="both"/>
      <w:outlineLvl w:val="0"/>
    </w:pPr>
    <w:rPr>
      <w:rFonts w:ascii="Arial" w:eastAsia="Arial Unicode MS" w:hAnsi="Arial" w:cs="Arial"/>
      <w:b/>
      <w:color w:val="000000"/>
      <w:kern w:val="28"/>
      <w:szCs w:val="20"/>
    </w:rPr>
  </w:style>
  <w:style w:type="paragraph" w:customStyle="1" w:styleId="ClauseNoTitle">
    <w:name w:val="Clause No Title"/>
    <w:basedOn w:val="TitleClause"/>
    <w:rsid w:val="001C2319"/>
    <w:rPr>
      <w:b w:val="0"/>
      <w:smallCaps/>
    </w:rPr>
  </w:style>
  <w:style w:type="paragraph" w:customStyle="1" w:styleId="ClosingPara">
    <w:name w:val="Closing Para"/>
    <w:basedOn w:val="Normal"/>
    <w:rsid w:val="001C2319"/>
    <w:pPr>
      <w:spacing w:before="120" w:after="240" w:line="300" w:lineRule="atLeast"/>
      <w:jc w:val="both"/>
    </w:pPr>
    <w:rPr>
      <w:rFonts w:ascii="Arial" w:eastAsia="Arial Unicode MS" w:hAnsi="Arial" w:cs="Arial"/>
      <w:color w:val="000000"/>
      <w:szCs w:val="20"/>
    </w:rPr>
  </w:style>
  <w:style w:type="paragraph" w:customStyle="1" w:styleId="ClosingSignOff">
    <w:name w:val="Closing SignOff"/>
    <w:basedOn w:val="Normal"/>
    <w:rsid w:val="001C2319"/>
    <w:pPr>
      <w:spacing w:after="120" w:line="300" w:lineRule="atLeast"/>
      <w:jc w:val="both"/>
    </w:pPr>
    <w:rPr>
      <w:rFonts w:ascii="Arial" w:eastAsia="Arial Unicode MS" w:hAnsi="Arial" w:cs="Arial"/>
      <w:color w:val="000000"/>
      <w:szCs w:val="20"/>
    </w:rPr>
  </w:style>
  <w:style w:type="paragraph" w:customStyle="1" w:styleId="CoversheetTitle">
    <w:name w:val="Coversheet Title"/>
    <w:basedOn w:val="Normal"/>
    <w:autoRedefine/>
    <w:rsid w:val="001C2319"/>
    <w:pPr>
      <w:spacing w:before="480" w:after="480" w:line="300" w:lineRule="atLeast"/>
      <w:jc w:val="center"/>
    </w:pPr>
    <w:rPr>
      <w:rFonts w:ascii="Arial" w:eastAsia="Arial Unicode MS" w:hAnsi="Arial" w:cs="Arial"/>
      <w:b/>
      <w:smallCaps/>
      <w:color w:val="000000"/>
      <w:sz w:val="28"/>
      <w:szCs w:val="20"/>
    </w:rPr>
  </w:style>
  <w:style w:type="paragraph" w:customStyle="1" w:styleId="CoverSheetHeading">
    <w:name w:val="Cover Sheet Heading"/>
    <w:aliases w:val="Coversheet Title2"/>
    <w:basedOn w:val="CoversheetTitle"/>
    <w:rsid w:val="001C2319"/>
  </w:style>
  <w:style w:type="paragraph" w:customStyle="1" w:styleId="CoverSheetSubjectText">
    <w:name w:val="Cover Sheet Subject Text"/>
    <w:basedOn w:val="Normal"/>
    <w:rsid w:val="001C2319"/>
    <w:pPr>
      <w:spacing w:after="0" w:line="300" w:lineRule="atLeast"/>
      <w:jc w:val="center"/>
    </w:pPr>
    <w:rPr>
      <w:rFonts w:ascii="Arial" w:eastAsia="Arial Unicode MS" w:hAnsi="Arial" w:cs="Arial"/>
      <w:color w:val="000000"/>
      <w:szCs w:val="20"/>
    </w:rPr>
  </w:style>
  <w:style w:type="paragraph" w:customStyle="1" w:styleId="CoverSheetSubjectTitle">
    <w:name w:val="Cover Sheet Subject Title"/>
    <w:basedOn w:val="Normal"/>
    <w:rsid w:val="001C2319"/>
    <w:pPr>
      <w:spacing w:after="0" w:line="300" w:lineRule="atLeast"/>
      <w:jc w:val="center"/>
    </w:pPr>
    <w:rPr>
      <w:rFonts w:ascii="Arial" w:eastAsia="Arial Unicode MS" w:hAnsi="Arial" w:cs="Arial"/>
      <w:color w:val="000000"/>
      <w:szCs w:val="20"/>
    </w:rPr>
  </w:style>
  <w:style w:type="paragraph" w:customStyle="1" w:styleId="DefinedTermPara">
    <w:name w:val="Defined Term Para"/>
    <w:basedOn w:val="Paragraph"/>
    <w:qFormat/>
    <w:rsid w:val="001C2319"/>
    <w:pPr>
      <w:numPr>
        <w:numId w:val="24"/>
      </w:numPr>
    </w:pPr>
  </w:style>
  <w:style w:type="paragraph" w:customStyle="1" w:styleId="DescriptiveHeading">
    <w:name w:val="DescriptiveHeading"/>
    <w:next w:val="Paragraph"/>
    <w:link w:val="DescriptiveHeadingChar"/>
    <w:rsid w:val="001C2319"/>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1C2319"/>
    <w:rPr>
      <w:rFonts w:ascii="Arial" w:eastAsia="Arial Unicode MS" w:hAnsi="Arial" w:cs="Arial"/>
      <w:b/>
      <w:color w:val="000000"/>
      <w:lang w:val="en-US" w:eastAsia="en-US"/>
    </w:rPr>
  </w:style>
  <w:style w:type="paragraph" w:customStyle="1" w:styleId="DraftingnoteSection1Para">
    <w:name w:val="Draftingnote Section1 Para"/>
    <w:basedOn w:val="Normal"/>
    <w:rsid w:val="001C2319"/>
    <w:pPr>
      <w:spacing w:after="120" w:line="300" w:lineRule="atLeast"/>
      <w:jc w:val="both"/>
    </w:pPr>
    <w:rPr>
      <w:rFonts w:ascii="Arial" w:eastAsia="Arial Unicode MS" w:hAnsi="Arial" w:cs="Arial"/>
      <w:color w:val="000000"/>
      <w:szCs w:val="20"/>
    </w:rPr>
  </w:style>
  <w:style w:type="paragraph" w:customStyle="1" w:styleId="DraftingnoteSection1Title">
    <w:name w:val="Draftingnote Section1 Title"/>
    <w:basedOn w:val="Normal"/>
    <w:rsid w:val="001C2319"/>
    <w:pPr>
      <w:spacing w:after="120" w:line="300" w:lineRule="atLeast"/>
      <w:jc w:val="both"/>
    </w:pPr>
    <w:rPr>
      <w:rFonts w:ascii="Arial" w:eastAsia="Arial Unicode MS" w:hAnsi="Arial" w:cs="Arial"/>
      <w:b/>
      <w:color w:val="000000"/>
      <w:sz w:val="36"/>
      <w:szCs w:val="20"/>
    </w:rPr>
  </w:style>
  <w:style w:type="paragraph" w:customStyle="1" w:styleId="DraftingnoteSection2Para">
    <w:name w:val="Draftingnote Section2 Para"/>
    <w:basedOn w:val="Normal"/>
    <w:rsid w:val="001C2319"/>
    <w:pPr>
      <w:spacing w:after="120" w:line="300" w:lineRule="atLeast"/>
      <w:jc w:val="both"/>
    </w:pPr>
    <w:rPr>
      <w:rFonts w:ascii="Arial" w:eastAsia="Arial Unicode MS" w:hAnsi="Arial" w:cs="Arial"/>
      <w:color w:val="000000"/>
      <w:szCs w:val="20"/>
    </w:rPr>
  </w:style>
  <w:style w:type="paragraph" w:customStyle="1" w:styleId="DraftingnoteSection2Title">
    <w:name w:val="Draftingnote Section2 Title"/>
    <w:basedOn w:val="Normal"/>
    <w:rsid w:val="001C2319"/>
    <w:pPr>
      <w:spacing w:after="120" w:line="300" w:lineRule="atLeast"/>
      <w:jc w:val="both"/>
    </w:pPr>
    <w:rPr>
      <w:rFonts w:ascii="Arial" w:eastAsia="Arial Unicode MS" w:hAnsi="Arial" w:cs="Arial"/>
      <w:b/>
      <w:color w:val="000000"/>
      <w:sz w:val="28"/>
      <w:szCs w:val="20"/>
    </w:rPr>
  </w:style>
  <w:style w:type="paragraph" w:customStyle="1" w:styleId="DraftingnoteSection3Para">
    <w:name w:val="Draftingnote Section3 Para"/>
    <w:basedOn w:val="Normal"/>
    <w:rsid w:val="001C2319"/>
    <w:pPr>
      <w:spacing w:after="120" w:line="300" w:lineRule="atLeast"/>
      <w:jc w:val="both"/>
    </w:pPr>
    <w:rPr>
      <w:rFonts w:ascii="Arial" w:eastAsia="Arial Unicode MS" w:hAnsi="Arial" w:cs="Arial"/>
      <w:color w:val="000000"/>
      <w:szCs w:val="20"/>
    </w:rPr>
  </w:style>
  <w:style w:type="paragraph" w:customStyle="1" w:styleId="DraftingnoteSection3Title">
    <w:name w:val="Draftingnote Section3 Title"/>
    <w:basedOn w:val="Normal"/>
    <w:rsid w:val="001C2319"/>
    <w:pPr>
      <w:spacing w:after="120" w:line="300" w:lineRule="atLeast"/>
      <w:jc w:val="both"/>
    </w:pPr>
    <w:rPr>
      <w:rFonts w:ascii="Arial" w:eastAsia="Arial Unicode MS" w:hAnsi="Arial" w:cs="Arial"/>
      <w:b/>
      <w:i/>
      <w:color w:val="000000"/>
      <w:sz w:val="28"/>
      <w:szCs w:val="20"/>
    </w:rPr>
  </w:style>
  <w:style w:type="paragraph" w:customStyle="1" w:styleId="DraftingnoteSection4Para">
    <w:name w:val="Draftingnote Section4 Para"/>
    <w:basedOn w:val="Normal"/>
    <w:rsid w:val="001C2319"/>
    <w:pPr>
      <w:spacing w:after="120" w:line="300" w:lineRule="atLeast"/>
      <w:jc w:val="both"/>
    </w:pPr>
    <w:rPr>
      <w:rFonts w:ascii="Arial" w:eastAsia="Arial Unicode MS" w:hAnsi="Arial" w:cs="Arial"/>
      <w:color w:val="000000"/>
      <w:szCs w:val="20"/>
    </w:rPr>
  </w:style>
  <w:style w:type="paragraph" w:customStyle="1" w:styleId="DraftingnoteSection4Title">
    <w:name w:val="Draftingnote Section4 Title"/>
    <w:basedOn w:val="Normal"/>
    <w:rsid w:val="001C2319"/>
    <w:pPr>
      <w:spacing w:after="120" w:line="300" w:lineRule="atLeast"/>
      <w:jc w:val="both"/>
    </w:pPr>
    <w:rPr>
      <w:rFonts w:ascii="Arial" w:eastAsia="Arial Unicode MS" w:hAnsi="Arial" w:cs="Arial"/>
      <w:b/>
      <w:i/>
      <w:color w:val="000000"/>
      <w:sz w:val="28"/>
      <w:szCs w:val="20"/>
    </w:rPr>
  </w:style>
  <w:style w:type="paragraph" w:customStyle="1" w:styleId="DraftingnoteTitle">
    <w:name w:val="Draftingnote Title"/>
    <w:basedOn w:val="Normal"/>
    <w:rsid w:val="001C2319"/>
    <w:pPr>
      <w:spacing w:after="120" w:line="300" w:lineRule="atLeast"/>
      <w:jc w:val="both"/>
    </w:pPr>
    <w:rPr>
      <w:rFonts w:ascii="Arial" w:eastAsia="Arial Unicode MS" w:hAnsi="Arial" w:cs="Arial"/>
      <w:b/>
      <w:color w:val="000000"/>
      <w:sz w:val="28"/>
      <w:szCs w:val="20"/>
    </w:rPr>
  </w:style>
  <w:style w:type="paragraph" w:customStyle="1" w:styleId="FulltextBridgehead">
    <w:name w:val="Fulltext Bridgehead"/>
    <w:basedOn w:val="Normal"/>
    <w:rsid w:val="001C2319"/>
    <w:pPr>
      <w:spacing w:after="120" w:line="300" w:lineRule="atLeast"/>
      <w:jc w:val="both"/>
    </w:pPr>
    <w:rPr>
      <w:rFonts w:ascii="Arial" w:eastAsia="Arial Unicode MS" w:hAnsi="Arial" w:cs="Arial"/>
      <w:b/>
      <w:color w:val="000000"/>
      <w:sz w:val="48"/>
      <w:szCs w:val="20"/>
    </w:rPr>
  </w:style>
  <w:style w:type="paragraph" w:customStyle="1" w:styleId="FulltextSection1Para">
    <w:name w:val="Fulltext Section1 Para"/>
    <w:basedOn w:val="Normal"/>
    <w:rsid w:val="001C2319"/>
    <w:pPr>
      <w:spacing w:after="120" w:line="300" w:lineRule="atLeast"/>
      <w:jc w:val="both"/>
    </w:pPr>
    <w:rPr>
      <w:rFonts w:ascii="Arial" w:eastAsia="Arial Unicode MS" w:hAnsi="Arial" w:cs="Arial"/>
      <w:color w:val="000000"/>
      <w:szCs w:val="20"/>
    </w:rPr>
  </w:style>
  <w:style w:type="paragraph" w:customStyle="1" w:styleId="FulltextSection1Title">
    <w:name w:val="Fulltext Section1 Title"/>
    <w:basedOn w:val="Normal"/>
    <w:rsid w:val="001C2319"/>
    <w:pPr>
      <w:spacing w:after="120" w:line="300" w:lineRule="atLeast"/>
      <w:jc w:val="both"/>
    </w:pPr>
    <w:rPr>
      <w:rFonts w:ascii="Arial" w:eastAsia="Arial Unicode MS" w:hAnsi="Arial" w:cs="Arial"/>
      <w:b/>
      <w:color w:val="000000"/>
      <w:sz w:val="36"/>
      <w:szCs w:val="20"/>
    </w:rPr>
  </w:style>
  <w:style w:type="paragraph" w:customStyle="1" w:styleId="FulltextSection2Para">
    <w:name w:val="Fulltext Section2 Para"/>
    <w:basedOn w:val="Normal"/>
    <w:rsid w:val="001C2319"/>
    <w:pPr>
      <w:spacing w:after="120" w:line="300" w:lineRule="atLeast"/>
      <w:jc w:val="both"/>
    </w:pPr>
    <w:rPr>
      <w:rFonts w:ascii="Arial" w:eastAsia="Arial Unicode MS" w:hAnsi="Arial" w:cs="Arial"/>
      <w:color w:val="000000"/>
      <w:szCs w:val="20"/>
    </w:rPr>
  </w:style>
  <w:style w:type="paragraph" w:customStyle="1" w:styleId="FulltextSection2Title">
    <w:name w:val="Fulltext Section2 Title"/>
    <w:basedOn w:val="Normal"/>
    <w:rsid w:val="001C2319"/>
    <w:pPr>
      <w:spacing w:after="120" w:line="300" w:lineRule="atLeast"/>
      <w:jc w:val="both"/>
    </w:pPr>
    <w:rPr>
      <w:rFonts w:ascii="Arial" w:eastAsia="Arial Unicode MS" w:hAnsi="Arial" w:cs="Arial"/>
      <w:b/>
      <w:color w:val="000000"/>
      <w:sz w:val="28"/>
      <w:szCs w:val="20"/>
    </w:rPr>
  </w:style>
  <w:style w:type="paragraph" w:customStyle="1" w:styleId="FulltextSection3Para">
    <w:name w:val="Fulltext Section3 Para"/>
    <w:basedOn w:val="Normal"/>
    <w:rsid w:val="001C2319"/>
    <w:pPr>
      <w:spacing w:after="120" w:line="300" w:lineRule="atLeast"/>
      <w:jc w:val="both"/>
    </w:pPr>
    <w:rPr>
      <w:rFonts w:ascii="Arial" w:eastAsia="Arial Unicode MS" w:hAnsi="Arial" w:cs="Arial"/>
      <w:color w:val="000000"/>
      <w:szCs w:val="20"/>
    </w:rPr>
  </w:style>
  <w:style w:type="paragraph" w:customStyle="1" w:styleId="FulltextSection3Title">
    <w:name w:val="Fulltext Section3 Title"/>
    <w:basedOn w:val="Normal"/>
    <w:rsid w:val="001C2319"/>
    <w:pPr>
      <w:spacing w:after="120" w:line="300" w:lineRule="atLeast"/>
      <w:jc w:val="both"/>
    </w:pPr>
    <w:rPr>
      <w:rFonts w:ascii="Arial" w:eastAsia="Arial Unicode MS" w:hAnsi="Arial" w:cs="Arial"/>
      <w:b/>
      <w:i/>
      <w:color w:val="000000"/>
      <w:sz w:val="28"/>
      <w:szCs w:val="20"/>
    </w:rPr>
  </w:style>
  <w:style w:type="paragraph" w:customStyle="1" w:styleId="FulltextSection4Para">
    <w:name w:val="Fulltext Section4 Para"/>
    <w:basedOn w:val="Normal"/>
    <w:rsid w:val="001C2319"/>
    <w:pPr>
      <w:spacing w:after="120" w:line="300" w:lineRule="atLeast"/>
      <w:jc w:val="both"/>
    </w:pPr>
    <w:rPr>
      <w:rFonts w:ascii="Arial" w:eastAsia="Arial Unicode MS" w:hAnsi="Arial" w:cs="Arial"/>
      <w:color w:val="000000"/>
      <w:szCs w:val="20"/>
    </w:rPr>
  </w:style>
  <w:style w:type="paragraph" w:customStyle="1" w:styleId="FulltextSection4Title">
    <w:name w:val="Fulltext Section4 Title"/>
    <w:basedOn w:val="Normal"/>
    <w:rsid w:val="001C2319"/>
    <w:pPr>
      <w:spacing w:after="120" w:line="300" w:lineRule="atLeast"/>
      <w:jc w:val="both"/>
    </w:pPr>
    <w:rPr>
      <w:rFonts w:ascii="Arial" w:eastAsia="Arial Unicode MS" w:hAnsi="Arial" w:cs="Arial"/>
      <w:b/>
      <w:i/>
      <w:color w:val="000000"/>
      <w:sz w:val="28"/>
      <w:szCs w:val="20"/>
    </w:rPr>
  </w:style>
  <w:style w:type="paragraph" w:customStyle="1" w:styleId="GlossItemGlossdefPara">
    <w:name w:val="GlossItem Glossdef Para"/>
    <w:basedOn w:val="Normal"/>
    <w:rsid w:val="001C2319"/>
    <w:pPr>
      <w:spacing w:after="120" w:line="300" w:lineRule="atLeast"/>
      <w:jc w:val="both"/>
    </w:pPr>
    <w:rPr>
      <w:rFonts w:ascii="Arial" w:eastAsia="Arial Unicode MS" w:hAnsi="Arial" w:cs="Arial"/>
      <w:color w:val="000000"/>
      <w:szCs w:val="20"/>
    </w:rPr>
  </w:style>
  <w:style w:type="paragraph" w:customStyle="1" w:styleId="GlossItemGlossterm">
    <w:name w:val="GlossItem Glossterm"/>
    <w:basedOn w:val="Normal"/>
    <w:rsid w:val="001C2319"/>
    <w:pPr>
      <w:spacing w:after="120" w:line="300" w:lineRule="atLeast"/>
      <w:jc w:val="both"/>
    </w:pPr>
    <w:rPr>
      <w:rFonts w:ascii="Arial" w:eastAsia="Arial Unicode MS" w:hAnsi="Arial" w:cs="Arial"/>
      <w:b/>
      <w:color w:val="000000"/>
      <w:sz w:val="48"/>
      <w:szCs w:val="20"/>
    </w:rPr>
  </w:style>
  <w:style w:type="paragraph" w:customStyle="1" w:styleId="HeadingAddressLine">
    <w:name w:val="Heading Address Line"/>
    <w:basedOn w:val="Normal"/>
    <w:rsid w:val="001C2319"/>
    <w:pPr>
      <w:spacing w:after="120" w:line="300" w:lineRule="atLeast"/>
      <w:jc w:val="both"/>
    </w:pPr>
    <w:rPr>
      <w:rFonts w:ascii="Arial" w:eastAsia="Arial Unicode MS" w:hAnsi="Arial" w:cs="Arial"/>
      <w:color w:val="000000"/>
      <w:szCs w:val="20"/>
    </w:rPr>
  </w:style>
  <w:style w:type="paragraph" w:customStyle="1" w:styleId="HeadingDate">
    <w:name w:val="Heading Date"/>
    <w:basedOn w:val="Normal"/>
    <w:rsid w:val="001C2319"/>
    <w:pPr>
      <w:spacing w:after="120" w:line="300" w:lineRule="atLeast"/>
      <w:jc w:val="both"/>
    </w:pPr>
    <w:rPr>
      <w:rFonts w:ascii="Arial" w:eastAsia="Arial Unicode MS" w:hAnsi="Arial" w:cs="Arial"/>
      <w:color w:val="000000"/>
      <w:szCs w:val="20"/>
    </w:rPr>
  </w:style>
  <w:style w:type="paragraph" w:customStyle="1" w:styleId="HeadingLetterheadBasedOnAttribute">
    <w:name w:val="Heading Letterhead Based On Attribute"/>
    <w:basedOn w:val="Normal"/>
    <w:rsid w:val="001C2319"/>
    <w:pPr>
      <w:spacing w:after="120" w:line="300" w:lineRule="atLeast"/>
      <w:jc w:val="both"/>
    </w:pPr>
    <w:rPr>
      <w:rFonts w:ascii="Arial" w:eastAsia="Arial Unicode MS" w:hAnsi="Arial" w:cs="Arial"/>
      <w:color w:val="000000"/>
      <w:szCs w:val="20"/>
    </w:rPr>
  </w:style>
  <w:style w:type="paragraph" w:customStyle="1" w:styleId="HeadingSalutation">
    <w:name w:val="Heading Salutation"/>
    <w:basedOn w:val="Normal"/>
    <w:rsid w:val="001C2319"/>
    <w:pPr>
      <w:spacing w:after="120" w:line="300" w:lineRule="atLeast"/>
      <w:jc w:val="both"/>
    </w:pPr>
    <w:rPr>
      <w:rFonts w:ascii="Arial" w:eastAsia="Arial Unicode MS" w:hAnsi="Arial" w:cs="Arial"/>
      <w:color w:val="000000"/>
      <w:szCs w:val="20"/>
    </w:rPr>
  </w:style>
  <w:style w:type="paragraph" w:customStyle="1" w:styleId="IgnoredSpacing">
    <w:name w:val="Ignored Spacing"/>
    <w:link w:val="IgnoredSpacingChar"/>
    <w:rsid w:val="001C2319"/>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1C2319"/>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1C2319"/>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1C2319"/>
    <w:rPr>
      <w:rFonts w:ascii="Arial" w:eastAsia="Arial Unicode MS" w:hAnsi="Arial" w:cs="Arial"/>
      <w:color w:val="000000"/>
      <w:sz w:val="24"/>
      <w:lang w:val="en-US" w:eastAsia="en-US"/>
    </w:rPr>
  </w:style>
  <w:style w:type="paragraph" w:customStyle="1" w:styleId="MaintenanceEditor">
    <w:name w:val="Maintenance Editor"/>
    <w:link w:val="MaintenanceEditorChar"/>
    <w:rsid w:val="001C2319"/>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1C2319"/>
    <w:rPr>
      <w:rFonts w:ascii="Arial" w:eastAsia="Arial Unicode MS" w:hAnsi="Arial" w:cs="Arial"/>
      <w:color w:val="000000"/>
      <w:sz w:val="24"/>
      <w:lang w:val="en-US" w:eastAsia="en-US"/>
    </w:rPr>
  </w:style>
  <w:style w:type="paragraph" w:customStyle="1" w:styleId="ParaClause">
    <w:name w:val="Para Clause"/>
    <w:basedOn w:val="Normal"/>
    <w:rsid w:val="001C2319"/>
    <w:pPr>
      <w:spacing w:before="120" w:after="120" w:line="300" w:lineRule="atLeast"/>
      <w:ind w:left="720"/>
      <w:jc w:val="both"/>
    </w:pPr>
    <w:rPr>
      <w:rFonts w:ascii="Arial" w:eastAsia="Arial Unicode MS" w:hAnsi="Arial" w:cs="Arial"/>
      <w:color w:val="000000"/>
      <w:szCs w:val="20"/>
    </w:rPr>
  </w:style>
  <w:style w:type="paragraph" w:customStyle="1" w:styleId="Parasubclause1">
    <w:name w:val="Para subclause 1"/>
    <w:aliases w:val="BIWS Heading 2"/>
    <w:basedOn w:val="Normal"/>
    <w:rsid w:val="001C2319"/>
    <w:pPr>
      <w:spacing w:before="240" w:after="120" w:line="300" w:lineRule="atLeast"/>
      <w:ind w:left="720"/>
      <w:jc w:val="both"/>
    </w:pPr>
    <w:rPr>
      <w:rFonts w:ascii="Arial" w:eastAsia="Arial Unicode MS" w:hAnsi="Arial" w:cs="Arial"/>
      <w:color w:val="000000"/>
      <w:szCs w:val="20"/>
    </w:rPr>
  </w:style>
  <w:style w:type="paragraph" w:customStyle="1" w:styleId="Untitledsubclause1">
    <w:name w:val="Untitled subclause 1"/>
    <w:basedOn w:val="Normal"/>
    <w:rsid w:val="001C2319"/>
    <w:pPr>
      <w:numPr>
        <w:ilvl w:val="1"/>
        <w:numId w:val="48"/>
      </w:numPr>
      <w:spacing w:before="280" w:after="120" w:line="300" w:lineRule="atLeast"/>
      <w:jc w:val="both"/>
      <w:outlineLvl w:val="1"/>
    </w:pPr>
    <w:rPr>
      <w:rFonts w:ascii="Arial" w:eastAsia="Arial Unicode MS" w:hAnsi="Arial" w:cs="Arial"/>
      <w:color w:val="000000"/>
      <w:szCs w:val="20"/>
    </w:rPr>
  </w:style>
  <w:style w:type="paragraph" w:customStyle="1" w:styleId="Parasubclause2">
    <w:name w:val="Para subclause 2"/>
    <w:aliases w:val="BIWS Heading 3"/>
    <w:basedOn w:val="Normal"/>
    <w:rsid w:val="001C2319"/>
    <w:pPr>
      <w:spacing w:after="240" w:line="300" w:lineRule="atLeast"/>
      <w:ind w:left="1559"/>
      <w:jc w:val="both"/>
    </w:pPr>
    <w:rPr>
      <w:rFonts w:ascii="Arial" w:eastAsia="Arial Unicode MS" w:hAnsi="Arial" w:cs="Arial"/>
      <w:color w:val="000000"/>
      <w:szCs w:val="20"/>
    </w:rPr>
  </w:style>
  <w:style w:type="paragraph" w:customStyle="1" w:styleId="Untitledsubclause2">
    <w:name w:val="Untitled subclause 2"/>
    <w:basedOn w:val="Normal"/>
    <w:rsid w:val="001C2319"/>
    <w:pPr>
      <w:numPr>
        <w:ilvl w:val="2"/>
        <w:numId w:val="48"/>
      </w:numPr>
      <w:spacing w:after="120" w:line="300" w:lineRule="atLeast"/>
      <w:jc w:val="both"/>
      <w:outlineLvl w:val="2"/>
    </w:pPr>
    <w:rPr>
      <w:rFonts w:ascii="Arial" w:eastAsia="Arial Unicode MS" w:hAnsi="Arial" w:cs="Arial"/>
      <w:color w:val="000000"/>
      <w:szCs w:val="20"/>
    </w:rPr>
  </w:style>
  <w:style w:type="paragraph" w:customStyle="1" w:styleId="Parasubclause3">
    <w:name w:val="Para subclause 3"/>
    <w:aliases w:val="BIWS Heading 4"/>
    <w:basedOn w:val="Normal"/>
    <w:next w:val="Untitledsubclause2"/>
    <w:rsid w:val="001C2319"/>
    <w:pPr>
      <w:spacing w:after="120" w:line="300" w:lineRule="atLeast"/>
      <w:ind w:left="2268"/>
      <w:jc w:val="both"/>
    </w:pPr>
    <w:rPr>
      <w:rFonts w:ascii="Arial" w:eastAsia="Arial Unicode MS" w:hAnsi="Arial" w:cs="Arial"/>
      <w:color w:val="000000"/>
      <w:szCs w:val="20"/>
    </w:rPr>
  </w:style>
  <w:style w:type="paragraph" w:customStyle="1" w:styleId="Untitledsubclause3">
    <w:name w:val="Untitled subclause 3"/>
    <w:basedOn w:val="Normal"/>
    <w:rsid w:val="001C2319"/>
    <w:pPr>
      <w:numPr>
        <w:ilvl w:val="3"/>
        <w:numId w:val="48"/>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Parasubclause4">
    <w:name w:val="Para subclause 4"/>
    <w:aliases w:val="BIWS Heading 5"/>
    <w:basedOn w:val="Parasubclause3"/>
    <w:rsid w:val="001C2319"/>
    <w:pPr>
      <w:spacing w:after="240"/>
      <w:ind w:left="3028"/>
    </w:pPr>
  </w:style>
  <w:style w:type="paragraph" w:customStyle="1" w:styleId="Untitledsubclause4">
    <w:name w:val="Untitled subclause 4"/>
    <w:basedOn w:val="Normal"/>
    <w:rsid w:val="001C2319"/>
    <w:pPr>
      <w:numPr>
        <w:ilvl w:val="4"/>
        <w:numId w:val="48"/>
      </w:numPr>
      <w:spacing w:after="120" w:line="300" w:lineRule="atLeast"/>
      <w:jc w:val="both"/>
      <w:outlineLvl w:val="4"/>
    </w:pPr>
    <w:rPr>
      <w:rFonts w:ascii="Arial" w:eastAsia="Arial Unicode MS" w:hAnsi="Arial" w:cs="Arial"/>
      <w:color w:val="000000"/>
      <w:szCs w:val="20"/>
    </w:rPr>
  </w:style>
  <w:style w:type="paragraph" w:customStyle="1" w:styleId="Para">
    <w:name w:val="Para"/>
    <w:aliases w:val="PLC Style - Normal"/>
    <w:basedOn w:val="Normal"/>
    <w:rsid w:val="001C2319"/>
    <w:pPr>
      <w:spacing w:after="120" w:line="300" w:lineRule="atLeast"/>
      <w:jc w:val="both"/>
    </w:pPr>
    <w:rPr>
      <w:rFonts w:ascii="Arial" w:eastAsia="Arial Unicode MS" w:hAnsi="Arial" w:cs="Arial"/>
      <w:color w:val="000000"/>
      <w:szCs w:val="20"/>
    </w:rPr>
  </w:style>
  <w:style w:type="paragraph" w:customStyle="1" w:styleId="Parties">
    <w:name w:val="Parties"/>
    <w:aliases w:val="(1) Parties"/>
    <w:basedOn w:val="Normal"/>
    <w:rsid w:val="001C2319"/>
    <w:pPr>
      <w:numPr>
        <w:numId w:val="5"/>
      </w:numPr>
      <w:spacing w:before="120" w:after="120" w:line="300" w:lineRule="atLeast"/>
      <w:jc w:val="both"/>
    </w:pPr>
    <w:rPr>
      <w:rFonts w:ascii="Arial" w:eastAsia="Arial Unicode MS" w:hAnsi="Arial" w:cs="Arial"/>
      <w:color w:val="000000"/>
      <w:szCs w:val="20"/>
    </w:rPr>
  </w:style>
  <w:style w:type="paragraph" w:customStyle="1" w:styleId="ResourceHistoryAuthor">
    <w:name w:val="Resource History Author"/>
    <w:link w:val="ResourceHistoryAuthorChar"/>
    <w:rsid w:val="001C2319"/>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1C2319"/>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1C2319"/>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1C2319"/>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1C2319"/>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1C2319"/>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1C2319"/>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1C2319"/>
    <w:rPr>
      <w:rFonts w:ascii="Arial" w:eastAsia="Arial Unicode MS" w:hAnsi="Arial" w:cs="Arial"/>
      <w:b/>
      <w:bCs/>
      <w:color w:val="000000"/>
      <w:sz w:val="24"/>
      <w:lang w:val="en-US" w:eastAsia="en-US"/>
    </w:rPr>
  </w:style>
  <w:style w:type="paragraph" w:customStyle="1" w:styleId="ResourceType">
    <w:name w:val="Resource Type"/>
    <w:link w:val="ResourceTypeChar"/>
    <w:rsid w:val="001C2319"/>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1C2319"/>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1C2319"/>
    <w:pPr>
      <w:numPr>
        <w:numId w:val="6"/>
      </w:numPr>
      <w:spacing w:before="240" w:after="360" w:line="300" w:lineRule="atLeast"/>
      <w:jc w:val="both"/>
    </w:pPr>
    <w:rPr>
      <w:rFonts w:ascii="Arial" w:eastAsia="Arial Unicode MS" w:hAnsi="Arial" w:cs="Arial"/>
      <w:b/>
      <w:color w:val="000000"/>
      <w:kern w:val="28"/>
      <w:szCs w:val="20"/>
    </w:rPr>
  </w:style>
  <w:style w:type="paragraph" w:customStyle="1" w:styleId="ScheduleHeading">
    <w:name w:val="Schedule Heading"/>
    <w:aliases w:val="Sch   main head"/>
    <w:basedOn w:val="Normal"/>
    <w:next w:val="Normal"/>
    <w:autoRedefine/>
    <w:rsid w:val="001C2319"/>
    <w:pPr>
      <w:keepNext/>
      <w:pageBreakBefore/>
      <w:numPr>
        <w:numId w:val="7"/>
      </w:numPr>
      <w:spacing w:before="240" w:after="360" w:line="300" w:lineRule="atLeast"/>
      <w:jc w:val="center"/>
      <w:outlineLvl w:val="0"/>
    </w:pPr>
    <w:rPr>
      <w:rFonts w:ascii="Arial" w:eastAsia="Arial Unicode MS" w:hAnsi="Arial" w:cs="Arial"/>
      <w:b/>
      <w:color w:val="000000"/>
      <w:kern w:val="28"/>
      <w:szCs w:val="20"/>
    </w:rPr>
  </w:style>
  <w:style w:type="paragraph" w:customStyle="1" w:styleId="SectionHeading">
    <w:name w:val="Section Heading"/>
    <w:aliases w:val="1stIntroHeadings"/>
    <w:basedOn w:val="Normal"/>
    <w:next w:val="Normal"/>
    <w:rsid w:val="001C2319"/>
    <w:pPr>
      <w:tabs>
        <w:tab w:val="left" w:pos="709"/>
      </w:tabs>
      <w:spacing w:before="120" w:after="120" w:line="300" w:lineRule="atLeast"/>
      <w:jc w:val="both"/>
    </w:pPr>
    <w:rPr>
      <w:rFonts w:ascii="Arial" w:eastAsia="Arial Unicode MS" w:hAnsi="Arial" w:cs="Arial"/>
      <w:b/>
      <w:smallCaps/>
      <w:color w:val="000000"/>
      <w:sz w:val="24"/>
      <w:szCs w:val="20"/>
    </w:rPr>
  </w:style>
  <w:style w:type="paragraph" w:customStyle="1" w:styleId="Shortquestion">
    <w:name w:val="Shortquestion"/>
    <w:basedOn w:val="Normal"/>
    <w:rsid w:val="001C2319"/>
    <w:pPr>
      <w:spacing w:after="120" w:line="300" w:lineRule="atLeast"/>
      <w:jc w:val="both"/>
    </w:pPr>
    <w:rPr>
      <w:rFonts w:ascii="Arial" w:eastAsia="Arial Unicode MS" w:hAnsi="Arial" w:cs="Arial"/>
      <w:color w:val="000000"/>
      <w:szCs w:val="20"/>
    </w:rPr>
  </w:style>
  <w:style w:type="paragraph" w:customStyle="1" w:styleId="SpeedreadPara">
    <w:name w:val="Speedread Para"/>
    <w:basedOn w:val="Normal"/>
    <w:rsid w:val="001C2319"/>
    <w:pPr>
      <w:spacing w:after="120" w:line="300" w:lineRule="atLeast"/>
      <w:jc w:val="both"/>
    </w:pPr>
    <w:rPr>
      <w:rFonts w:ascii="Arial" w:eastAsia="Arial Unicode MS" w:hAnsi="Arial" w:cs="Arial"/>
      <w:color w:val="000000"/>
      <w:szCs w:val="20"/>
    </w:rPr>
  </w:style>
  <w:style w:type="paragraph" w:customStyle="1" w:styleId="SpeedreadSection1Para">
    <w:name w:val="Speedread Section1 Para"/>
    <w:basedOn w:val="Normal"/>
    <w:rsid w:val="001C2319"/>
    <w:pPr>
      <w:spacing w:after="120" w:line="300" w:lineRule="atLeast"/>
      <w:jc w:val="both"/>
    </w:pPr>
    <w:rPr>
      <w:rFonts w:ascii="Arial" w:eastAsia="Arial Unicode MS" w:hAnsi="Arial" w:cs="Arial"/>
      <w:color w:val="000000"/>
      <w:szCs w:val="20"/>
    </w:rPr>
  </w:style>
  <w:style w:type="paragraph" w:customStyle="1" w:styleId="SpeedreadSection1Text">
    <w:name w:val="Speedread Section1 Text"/>
    <w:basedOn w:val="Normal"/>
    <w:rsid w:val="001C2319"/>
    <w:pPr>
      <w:spacing w:after="120" w:line="300" w:lineRule="atLeast"/>
      <w:jc w:val="both"/>
    </w:pPr>
    <w:rPr>
      <w:rFonts w:ascii="Arial" w:eastAsia="Arial Unicode MS" w:hAnsi="Arial" w:cs="Arial"/>
      <w:color w:val="000000"/>
      <w:szCs w:val="20"/>
    </w:rPr>
  </w:style>
  <w:style w:type="paragraph" w:customStyle="1" w:styleId="SpeedreadText">
    <w:name w:val="Speedread Text"/>
    <w:basedOn w:val="Normal"/>
    <w:rsid w:val="001C2319"/>
    <w:pPr>
      <w:spacing w:after="120" w:line="300" w:lineRule="atLeast"/>
      <w:jc w:val="both"/>
    </w:pPr>
    <w:rPr>
      <w:rFonts w:ascii="Arial" w:eastAsia="Arial Unicode MS" w:hAnsi="Arial" w:cs="Arial"/>
      <w:color w:val="000000"/>
      <w:szCs w:val="20"/>
    </w:rPr>
  </w:style>
  <w:style w:type="paragraph" w:customStyle="1" w:styleId="SpeedreadTitle">
    <w:name w:val="Speedread Title"/>
    <w:basedOn w:val="Normal"/>
    <w:rsid w:val="001C2319"/>
    <w:pPr>
      <w:spacing w:after="120" w:line="300" w:lineRule="atLeast"/>
      <w:jc w:val="both"/>
    </w:pPr>
    <w:rPr>
      <w:rFonts w:ascii="Arial" w:eastAsia="Arial Unicode MS" w:hAnsi="Arial" w:cs="Arial"/>
      <w:b/>
      <w:color w:val="000000"/>
      <w:sz w:val="36"/>
      <w:szCs w:val="20"/>
    </w:rPr>
  </w:style>
  <w:style w:type="paragraph" w:customStyle="1" w:styleId="TemplateType">
    <w:name w:val="Template Type"/>
    <w:link w:val="TemplateTypeChar"/>
    <w:rsid w:val="001C2319"/>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1C2319"/>
    <w:rPr>
      <w:rFonts w:ascii="Arial" w:eastAsia="Arial Unicode MS" w:hAnsi="Arial" w:cs="Arial"/>
      <w:color w:val="000000"/>
      <w:sz w:val="24"/>
      <w:szCs w:val="24"/>
      <w:lang w:val="en-US" w:eastAsia="en-US"/>
    </w:rPr>
  </w:style>
  <w:style w:type="paragraph" w:styleId="Title">
    <w:name w:val="Title"/>
    <w:link w:val="TitleChar"/>
    <w:rsid w:val="001C2319"/>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1C2319"/>
    <w:rPr>
      <w:rFonts w:ascii="Arial" w:eastAsia="Arial Unicode MS" w:hAnsi="Arial" w:cs="Arial"/>
      <w:color w:val="000000"/>
      <w:sz w:val="24"/>
      <w:lang w:val="en-US" w:eastAsia="en-US"/>
    </w:rPr>
  </w:style>
  <w:style w:type="paragraph" w:styleId="Footer">
    <w:name w:val="footer"/>
    <w:basedOn w:val="Normal"/>
    <w:link w:val="FooterChar"/>
    <w:rsid w:val="001C2319"/>
    <w:pPr>
      <w:tabs>
        <w:tab w:val="center" w:pos="4153"/>
        <w:tab w:val="right" w:pos="8306"/>
      </w:tabs>
      <w:spacing w:after="240" w:line="300" w:lineRule="atLeast"/>
      <w:jc w:val="both"/>
    </w:pPr>
    <w:rPr>
      <w:rFonts w:ascii="Times New Roman" w:eastAsia="Times New Roman" w:hAnsi="Times New Roman" w:cs="Times New Roman"/>
      <w:color w:val="000000"/>
      <w:szCs w:val="20"/>
    </w:rPr>
  </w:style>
  <w:style w:type="character" w:customStyle="1" w:styleId="FooterChar">
    <w:name w:val="Footer Char"/>
    <w:basedOn w:val="DefaultParagraphFont"/>
    <w:link w:val="Footer"/>
    <w:rsid w:val="001C2319"/>
    <w:rPr>
      <w:rFonts w:ascii="Times New Roman" w:eastAsia="Times New Roman" w:hAnsi="Times New Roman" w:cs="Times New Roman"/>
      <w:color w:val="000000"/>
      <w:szCs w:val="20"/>
      <w:lang w:eastAsia="en-US"/>
    </w:rPr>
  </w:style>
  <w:style w:type="character" w:styleId="Hyperlink">
    <w:name w:val="Hyperlink"/>
    <w:basedOn w:val="DefaultParagraphFont"/>
    <w:uiPriority w:val="99"/>
    <w:rsid w:val="001C2319"/>
    <w:rPr>
      <w:i/>
      <w:color w:val="000000"/>
      <w:u w:val="single"/>
    </w:rPr>
  </w:style>
  <w:style w:type="paragraph" w:customStyle="1" w:styleId="Bullet4">
    <w:name w:val="Bullet4"/>
    <w:basedOn w:val="Normal"/>
    <w:rsid w:val="001C2319"/>
    <w:pPr>
      <w:numPr>
        <w:numId w:val="8"/>
      </w:numPr>
      <w:spacing w:after="240" w:line="240" w:lineRule="auto"/>
      <w:jc w:val="both"/>
    </w:pPr>
    <w:rPr>
      <w:rFonts w:ascii="Times New Roman" w:eastAsia="Times New Roman" w:hAnsi="Times New Roman" w:cs="Times New Roman"/>
      <w:color w:val="000000"/>
      <w:szCs w:val="20"/>
    </w:rPr>
  </w:style>
  <w:style w:type="paragraph" w:customStyle="1" w:styleId="Paragraph">
    <w:name w:val="Paragraph"/>
    <w:basedOn w:val="Normal"/>
    <w:link w:val="ParagraphChar"/>
    <w:qFormat/>
    <w:rsid w:val="001C2319"/>
    <w:pPr>
      <w:spacing w:after="120" w:line="300" w:lineRule="atLeast"/>
      <w:jc w:val="both"/>
    </w:pPr>
    <w:rPr>
      <w:rFonts w:ascii="Arial" w:eastAsia="Arial Unicode MS" w:hAnsi="Arial" w:cs="Arial"/>
      <w:color w:val="000000"/>
      <w:szCs w:val="20"/>
    </w:rPr>
  </w:style>
  <w:style w:type="paragraph" w:customStyle="1" w:styleId="IgnoredTemplateText">
    <w:name w:val="Ignored Template Text"/>
    <w:link w:val="IgnoredTemplateTextChar"/>
    <w:rsid w:val="001C2319"/>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1C2319"/>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1C2319"/>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1C2319"/>
    <w:pPr>
      <w:keepNext/>
      <w:spacing w:after="120" w:line="300" w:lineRule="atLeast"/>
      <w:jc w:val="both"/>
      <w:outlineLvl w:val="1"/>
    </w:pPr>
    <w:rPr>
      <w:rFonts w:ascii="Arial" w:eastAsia="Arial Unicode MS" w:hAnsi="Arial" w:cs="Arial"/>
      <w:b/>
      <w:color w:val="000000"/>
      <w:sz w:val="36"/>
      <w:szCs w:val="20"/>
    </w:rPr>
  </w:style>
  <w:style w:type="paragraph" w:customStyle="1" w:styleId="HeadingLevel2">
    <w:name w:val="Heading Level 2"/>
    <w:basedOn w:val="Normal"/>
    <w:next w:val="Paragraph"/>
    <w:rsid w:val="001C2319"/>
    <w:pPr>
      <w:keepNext/>
      <w:spacing w:after="120" w:line="300" w:lineRule="atLeast"/>
      <w:jc w:val="both"/>
      <w:outlineLvl w:val="2"/>
    </w:pPr>
    <w:rPr>
      <w:rFonts w:ascii="Arial" w:eastAsia="Arial Unicode MS" w:hAnsi="Arial" w:cs="Arial"/>
      <w:b/>
      <w:color w:val="000000"/>
      <w:sz w:val="28"/>
      <w:szCs w:val="20"/>
    </w:rPr>
  </w:style>
  <w:style w:type="paragraph" w:customStyle="1" w:styleId="HeadingLevel3">
    <w:name w:val="Heading Level 3"/>
    <w:basedOn w:val="Normal"/>
    <w:next w:val="Paragraph"/>
    <w:rsid w:val="001C2319"/>
    <w:pPr>
      <w:keepNext/>
      <w:spacing w:after="120" w:line="300" w:lineRule="atLeast"/>
      <w:jc w:val="both"/>
      <w:outlineLvl w:val="3"/>
    </w:pPr>
    <w:rPr>
      <w:rFonts w:ascii="Arial" w:eastAsia="Arial Unicode MS" w:hAnsi="Arial" w:cs="Arial"/>
      <w:b/>
      <w:i/>
      <w:color w:val="000000"/>
      <w:sz w:val="28"/>
      <w:szCs w:val="20"/>
    </w:rPr>
  </w:style>
  <w:style w:type="paragraph" w:styleId="Header">
    <w:name w:val="header"/>
    <w:basedOn w:val="Normal"/>
    <w:link w:val="HeaderChar"/>
    <w:uiPriority w:val="99"/>
    <w:unhideWhenUsed/>
    <w:rsid w:val="001C2319"/>
    <w:pPr>
      <w:tabs>
        <w:tab w:val="center" w:pos="4513"/>
        <w:tab w:val="right" w:pos="9026"/>
      </w:tabs>
      <w:spacing w:after="0" w:line="240" w:lineRule="auto"/>
    </w:pPr>
    <w:rPr>
      <w:color w:val="000000"/>
    </w:rPr>
  </w:style>
  <w:style w:type="character" w:customStyle="1" w:styleId="HeaderChar">
    <w:name w:val="Header Char"/>
    <w:basedOn w:val="DefaultParagraphFont"/>
    <w:link w:val="Header"/>
    <w:uiPriority w:val="99"/>
    <w:rsid w:val="001C2319"/>
    <w:rPr>
      <w:color w:val="000000"/>
    </w:rPr>
  </w:style>
  <w:style w:type="character" w:styleId="PlaceholderText">
    <w:name w:val="Placeholder Text"/>
    <w:basedOn w:val="DefaultParagraphFont"/>
    <w:uiPriority w:val="99"/>
    <w:rsid w:val="001C2319"/>
    <w:rPr>
      <w:color w:val="000000"/>
    </w:rPr>
  </w:style>
  <w:style w:type="paragraph" w:styleId="BalloonText">
    <w:name w:val="Balloon Text"/>
    <w:basedOn w:val="Normal"/>
    <w:link w:val="BalloonTextChar"/>
    <w:uiPriority w:val="99"/>
    <w:semiHidden/>
    <w:unhideWhenUsed/>
    <w:rsid w:val="001C2319"/>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1C2319"/>
    <w:rPr>
      <w:rFonts w:ascii="Tahoma" w:hAnsi="Tahoma" w:cs="Tahoma"/>
      <w:color w:val="000000"/>
      <w:sz w:val="16"/>
      <w:szCs w:val="16"/>
    </w:rPr>
  </w:style>
  <w:style w:type="paragraph" w:customStyle="1" w:styleId="PinPointRef">
    <w:name w:val="PinPoint Ref"/>
    <w:link w:val="PinPointRefChar"/>
    <w:qFormat/>
    <w:rsid w:val="001C2319"/>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1C2319"/>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1C2319"/>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1C2319"/>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1C2319"/>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1C2319"/>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1C2319"/>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1C2319"/>
    <w:rPr>
      <w:rFonts w:ascii="Arial" w:eastAsia="Arial Unicode MS" w:hAnsi="Arial" w:cs="Arial"/>
      <w:color w:val="000000"/>
      <w:szCs w:val="24"/>
      <w:lang w:val="en-US" w:eastAsia="en-US"/>
    </w:rPr>
  </w:style>
  <w:style w:type="paragraph" w:customStyle="1" w:styleId="IntroDefault">
    <w:name w:val="Intro Default"/>
    <w:basedOn w:val="Paragraph"/>
    <w:qFormat/>
    <w:rsid w:val="001C2319"/>
  </w:style>
  <w:style w:type="paragraph" w:customStyle="1" w:styleId="IntroCustom">
    <w:name w:val="Intro Custom"/>
    <w:basedOn w:val="Paragraph"/>
    <w:qFormat/>
    <w:rsid w:val="001C2319"/>
  </w:style>
  <w:style w:type="paragraph" w:customStyle="1" w:styleId="PrecedentType">
    <w:name w:val="Precedent Type"/>
    <w:basedOn w:val="IgnoredSpacing"/>
    <w:qFormat/>
    <w:rsid w:val="001C2319"/>
  </w:style>
  <w:style w:type="paragraph" w:customStyle="1" w:styleId="Operative">
    <w:name w:val="Operative"/>
    <w:basedOn w:val="IgnoredSpacing"/>
    <w:qFormat/>
    <w:rsid w:val="001C2319"/>
    <w:rPr>
      <w:vanish/>
    </w:rPr>
  </w:style>
  <w:style w:type="paragraph" w:customStyle="1" w:styleId="SpeedreadBulletList1">
    <w:name w:val="Speedread Bullet List 1"/>
    <w:basedOn w:val="BulletList1"/>
    <w:qFormat/>
    <w:rsid w:val="001C2319"/>
  </w:style>
  <w:style w:type="paragraph" w:customStyle="1" w:styleId="PartiesTitle">
    <w:name w:val="Parties Title"/>
    <w:basedOn w:val="Paragraph"/>
    <w:qFormat/>
    <w:rsid w:val="001C2319"/>
    <w:rPr>
      <w:b/>
    </w:rPr>
  </w:style>
  <w:style w:type="table" w:styleId="TableGrid">
    <w:name w:val="Table Grid"/>
    <w:basedOn w:val="TableNormal"/>
    <w:rsid w:val="001C2319"/>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1C2319"/>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1Pattern">
    <w:name w:val="Bullet List 1 + Pattern"/>
    <w:basedOn w:val="BulletList1"/>
    <w:qFormat/>
    <w:rsid w:val="001C2319"/>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1C2319"/>
    <w:rPr>
      <w:rFonts w:ascii="Arial" w:eastAsia="Arial Unicode MS" w:hAnsi="Arial" w:cs="Arial"/>
      <w:color w:val="000000"/>
      <w:shd w:val="clear" w:color="auto" w:fill="D9D9D9" w:themeFill="background1" w:themeFillShade="D9"/>
      <w:lang w:val="en-US" w:eastAsia="en-US"/>
    </w:rPr>
  </w:style>
  <w:style w:type="paragraph" w:customStyle="1" w:styleId="BulletList2Pattern">
    <w:name w:val="Bullet List 2 + Pattern"/>
    <w:basedOn w:val="BulletList2"/>
    <w:qFormat/>
    <w:rsid w:val="001C2319"/>
    <w:pPr>
      <w:shd w:val="clear" w:color="auto" w:fill="D9D9D9" w:themeFill="background1" w:themeFillShade="D9"/>
      <w:ind w:left="1077"/>
    </w:pPr>
  </w:style>
  <w:style w:type="paragraph" w:customStyle="1" w:styleId="TestimoniumContract">
    <w:name w:val="Testimonium Contract"/>
    <w:basedOn w:val="Paragraph"/>
    <w:qFormat/>
    <w:rsid w:val="001C2319"/>
  </w:style>
  <w:style w:type="paragraph" w:customStyle="1" w:styleId="TestimoniumDeed">
    <w:name w:val="Testimonium Deed"/>
    <w:basedOn w:val="Paragraph"/>
    <w:qFormat/>
    <w:rsid w:val="001C2319"/>
  </w:style>
  <w:style w:type="paragraph" w:customStyle="1" w:styleId="Titlesubclause2">
    <w:name w:val="Title subclause2"/>
    <w:basedOn w:val="Untitledsubclause2"/>
    <w:qFormat/>
    <w:rsid w:val="001C2319"/>
    <w:rPr>
      <w:b/>
    </w:rPr>
  </w:style>
  <w:style w:type="paragraph" w:customStyle="1" w:styleId="Titlesubclause3">
    <w:name w:val="Title subclause3"/>
    <w:basedOn w:val="Untitledsubclause3"/>
    <w:qFormat/>
    <w:rsid w:val="001C2319"/>
    <w:rPr>
      <w:b/>
    </w:rPr>
  </w:style>
  <w:style w:type="paragraph" w:customStyle="1" w:styleId="Titlesubclause4">
    <w:name w:val="Title subclause4"/>
    <w:basedOn w:val="Untitledsubclause4"/>
    <w:qFormat/>
    <w:rsid w:val="001C2319"/>
    <w:rPr>
      <w:b/>
    </w:rPr>
  </w:style>
  <w:style w:type="paragraph" w:customStyle="1" w:styleId="UntitledClause">
    <w:name w:val="Untitled Clause"/>
    <w:basedOn w:val="TitleClause"/>
    <w:qFormat/>
    <w:rsid w:val="001C2319"/>
    <w:pPr>
      <w:spacing w:before="120"/>
    </w:pPr>
    <w:rPr>
      <w:b w:val="0"/>
    </w:rPr>
  </w:style>
  <w:style w:type="paragraph" w:customStyle="1" w:styleId="Titlesubclause1">
    <w:name w:val="Title subclause1"/>
    <w:basedOn w:val="Untitledsubclause1"/>
    <w:qFormat/>
    <w:rsid w:val="001C2319"/>
    <w:pPr>
      <w:spacing w:before="120"/>
    </w:pPr>
    <w:rPr>
      <w:b/>
    </w:rPr>
  </w:style>
  <w:style w:type="paragraph" w:customStyle="1" w:styleId="Schedule">
    <w:name w:val="Schedule"/>
    <w:qFormat/>
    <w:rsid w:val="001C2319"/>
    <w:pPr>
      <w:numPr>
        <w:numId w:val="51"/>
      </w:numPr>
      <w:spacing w:before="240" w:after="240" w:line="240" w:lineRule="atLeast"/>
    </w:pPr>
    <w:rPr>
      <w:rFonts w:ascii="Arial" w:eastAsia="Arial Unicode MS" w:hAnsi="Arial" w:cs="Arial"/>
      <w:b/>
      <w:color w:val="000000"/>
      <w:lang w:val="en-US" w:eastAsia="en-US"/>
    </w:rPr>
  </w:style>
  <w:style w:type="character" w:customStyle="1" w:styleId="Heading1Char">
    <w:name w:val="Heading 1 Char"/>
    <w:basedOn w:val="DefaultParagraphFont"/>
    <w:link w:val="Heading1"/>
    <w:uiPriority w:val="9"/>
    <w:rsid w:val="001C2319"/>
    <w:rPr>
      <w:rFonts w:asciiTheme="majorHAnsi" w:eastAsiaTheme="majorEastAsia" w:hAnsiTheme="majorHAnsi" w:cstheme="majorBidi"/>
      <w:b/>
      <w:bCs/>
      <w:color w:val="000000"/>
      <w:sz w:val="28"/>
      <w:szCs w:val="28"/>
    </w:rPr>
  </w:style>
  <w:style w:type="character" w:customStyle="1" w:styleId="Heading2Char">
    <w:name w:val="Heading 2 Char"/>
    <w:basedOn w:val="DefaultParagraphFont"/>
    <w:link w:val="Heading2"/>
    <w:uiPriority w:val="9"/>
    <w:semiHidden/>
    <w:rsid w:val="001C2319"/>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1C2319"/>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1C2319"/>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1C231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1C2319"/>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1C231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1C231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1C2319"/>
    <w:rPr>
      <w:rFonts w:asciiTheme="majorHAnsi" w:eastAsiaTheme="majorEastAsia" w:hAnsiTheme="majorHAnsi" w:cstheme="majorBidi"/>
      <w:i/>
      <w:iCs/>
      <w:color w:val="000000"/>
      <w:sz w:val="20"/>
      <w:szCs w:val="20"/>
    </w:rPr>
  </w:style>
  <w:style w:type="paragraph" w:customStyle="1" w:styleId="ScheduleTitle">
    <w:name w:val="Schedule Title"/>
    <w:basedOn w:val="Paragraph"/>
    <w:qFormat/>
    <w:rsid w:val="001C2319"/>
    <w:rPr>
      <w:b/>
    </w:rPr>
  </w:style>
  <w:style w:type="paragraph" w:customStyle="1" w:styleId="Part">
    <w:name w:val="Part"/>
    <w:basedOn w:val="Paragraph"/>
    <w:qFormat/>
    <w:rsid w:val="001C2319"/>
    <w:pPr>
      <w:numPr>
        <w:numId w:val="55"/>
      </w:numPr>
      <w:spacing w:before="240" w:after="240"/>
      <w:jc w:val="left"/>
    </w:pPr>
    <w:rPr>
      <w:b/>
    </w:rPr>
  </w:style>
  <w:style w:type="paragraph" w:customStyle="1" w:styleId="AnnexTitle">
    <w:name w:val="Annex Title"/>
    <w:basedOn w:val="Paragraph"/>
    <w:next w:val="Paragraph"/>
    <w:qFormat/>
    <w:rsid w:val="001C2319"/>
    <w:pPr>
      <w:spacing w:before="240" w:after="240"/>
    </w:pPr>
    <w:rPr>
      <w:b/>
    </w:rPr>
  </w:style>
  <w:style w:type="paragraph" w:customStyle="1" w:styleId="PartTitle">
    <w:name w:val="Part Title"/>
    <w:basedOn w:val="Paragraph"/>
    <w:qFormat/>
    <w:rsid w:val="001C2319"/>
    <w:rPr>
      <w:b/>
    </w:rPr>
  </w:style>
  <w:style w:type="paragraph" w:customStyle="1" w:styleId="Testimonium">
    <w:name w:val="Testimonium"/>
    <w:basedOn w:val="Paragraph"/>
    <w:qFormat/>
    <w:rsid w:val="001C2319"/>
  </w:style>
  <w:style w:type="character" w:customStyle="1" w:styleId="apple-converted-space">
    <w:name w:val="apple-converted-space"/>
    <w:basedOn w:val="DefaultParagraphFont"/>
    <w:rsid w:val="001C2319"/>
    <w:rPr>
      <w:color w:val="000000"/>
    </w:rPr>
  </w:style>
  <w:style w:type="character" w:styleId="Emphasis">
    <w:name w:val="Emphasis"/>
    <w:basedOn w:val="DefaultParagraphFont"/>
    <w:uiPriority w:val="20"/>
    <w:qFormat/>
    <w:rsid w:val="001C2319"/>
    <w:rPr>
      <w:i/>
      <w:iCs/>
      <w:color w:val="000000"/>
    </w:rPr>
  </w:style>
  <w:style w:type="paragraph" w:customStyle="1" w:styleId="NoNumTitle-Clause">
    <w:name w:val="No Num Title - Clause"/>
    <w:basedOn w:val="TitleClause"/>
    <w:qFormat/>
    <w:rsid w:val="001C2319"/>
    <w:pPr>
      <w:numPr>
        <w:numId w:val="0"/>
      </w:numPr>
      <w:ind w:left="720"/>
    </w:pPr>
  </w:style>
  <w:style w:type="paragraph" w:customStyle="1" w:styleId="NoNumTitlesubclause1">
    <w:name w:val="No Num Title subclause1"/>
    <w:basedOn w:val="Titlesubclause1"/>
    <w:qFormat/>
    <w:rsid w:val="001C2319"/>
    <w:pPr>
      <w:numPr>
        <w:ilvl w:val="0"/>
        <w:numId w:val="0"/>
      </w:numPr>
      <w:ind w:left="720"/>
    </w:pPr>
  </w:style>
  <w:style w:type="paragraph" w:customStyle="1" w:styleId="AddressLine">
    <w:name w:val="Address Line"/>
    <w:basedOn w:val="Paragraph"/>
    <w:qFormat/>
    <w:rsid w:val="001C2319"/>
  </w:style>
  <w:style w:type="paragraph" w:styleId="Date">
    <w:name w:val="Date"/>
    <w:basedOn w:val="Paragraph"/>
    <w:qFormat/>
    <w:rsid w:val="001C2319"/>
  </w:style>
  <w:style w:type="paragraph" w:customStyle="1" w:styleId="SalutationPara">
    <w:name w:val="Salutation Para"/>
    <w:basedOn w:val="Paragraph"/>
    <w:next w:val="Paragraph"/>
    <w:qFormat/>
    <w:rsid w:val="001C2319"/>
    <w:pPr>
      <w:spacing w:before="240"/>
    </w:pPr>
  </w:style>
  <w:style w:type="character" w:styleId="FollowedHyperlink">
    <w:name w:val="FollowedHyperlink"/>
    <w:basedOn w:val="DefaultParagraphFont"/>
    <w:uiPriority w:val="99"/>
    <w:semiHidden/>
    <w:unhideWhenUsed/>
    <w:rsid w:val="001C2319"/>
    <w:rPr>
      <w:i/>
      <w:color w:val="000000"/>
      <w:u w:val="single"/>
    </w:rPr>
  </w:style>
  <w:style w:type="character" w:customStyle="1" w:styleId="DefTerm">
    <w:name w:val="DefTerm"/>
    <w:basedOn w:val="DefaultParagraphFont"/>
    <w:uiPriority w:val="1"/>
    <w:qFormat/>
    <w:rsid w:val="001C2319"/>
    <w:rPr>
      <w:b/>
      <w:color w:val="000000"/>
    </w:rPr>
  </w:style>
  <w:style w:type="table" w:customStyle="1" w:styleId="ShadedTable">
    <w:name w:val="Shaded Table"/>
    <w:basedOn w:val="TableNormal"/>
    <w:uiPriority w:val="99"/>
    <w:rsid w:val="001C2319"/>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1C2319"/>
    <w:rPr>
      <w:i/>
    </w:rPr>
  </w:style>
  <w:style w:type="paragraph" w:customStyle="1" w:styleId="LetterTitle">
    <w:name w:val="Letter Title"/>
    <w:basedOn w:val="Paragraph"/>
    <w:qFormat/>
    <w:rsid w:val="001C2319"/>
    <w:rPr>
      <w:b/>
    </w:rPr>
  </w:style>
  <w:style w:type="paragraph" w:customStyle="1" w:styleId="LongQuestionPara">
    <w:name w:val="Long Question Para"/>
    <w:basedOn w:val="Paragraph"/>
    <w:link w:val="LongQuestionParaChar"/>
    <w:rsid w:val="001C2319"/>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1C2319"/>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1C2319"/>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1C2319"/>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1C2319"/>
    <w:rPr>
      <w:rFonts w:ascii="Arial" w:eastAsia="Arial Unicode MS" w:hAnsi="Arial" w:cs="Arial"/>
      <w:color w:val="000000"/>
      <w:szCs w:val="20"/>
      <w:lang w:eastAsia="en-US"/>
    </w:rPr>
  </w:style>
  <w:style w:type="paragraph" w:customStyle="1" w:styleId="811D3A974D454A258B71E3C4DE24C4F210">
    <w:name w:val="811D3A974D454A258B71E3C4DE24C4F210"/>
    <w:rsid w:val="00D100AD"/>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1C2319"/>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1C2319"/>
    <w:pPr>
      <w:jc w:val="center"/>
    </w:pPr>
    <w:rPr>
      <w:sz w:val="28"/>
    </w:rPr>
  </w:style>
  <w:style w:type="paragraph" w:customStyle="1" w:styleId="Title-Clause">
    <w:name w:val="Title - Clause"/>
    <w:aliases w:val="BIWS Heading 1"/>
    <w:basedOn w:val="Normal"/>
    <w:rsid w:val="001C2319"/>
    <w:pPr>
      <w:keepNext/>
      <w:tabs>
        <w:tab w:val="num" w:pos="720"/>
      </w:tabs>
      <w:spacing w:before="240" w:after="240" w:line="300" w:lineRule="atLeast"/>
      <w:ind w:left="720" w:hanging="720"/>
      <w:jc w:val="both"/>
      <w:outlineLvl w:val="0"/>
    </w:pPr>
    <w:rPr>
      <w:rFonts w:ascii="Arial" w:eastAsia="Arial Unicode MS" w:hAnsi="Arial" w:cs="Arial"/>
      <w:b/>
      <w:color w:val="000000"/>
      <w:kern w:val="28"/>
      <w:szCs w:val="20"/>
    </w:rPr>
  </w:style>
  <w:style w:type="paragraph" w:customStyle="1" w:styleId="Para-Clause-nonum">
    <w:name w:val="Para - Clause - no num"/>
    <w:aliases w:val="Body  clause"/>
    <w:basedOn w:val="Normal"/>
    <w:next w:val="Title-Clause"/>
    <w:rsid w:val="001C2319"/>
    <w:pPr>
      <w:spacing w:before="120" w:after="120" w:line="300" w:lineRule="atLeast"/>
      <w:ind w:left="720"/>
      <w:jc w:val="both"/>
    </w:pPr>
    <w:rPr>
      <w:rFonts w:ascii="Arial" w:eastAsia="Arial Unicode MS" w:hAnsi="Arial" w:cs="Arial"/>
      <w:color w:val="000000"/>
      <w:szCs w:val="20"/>
    </w:rPr>
  </w:style>
  <w:style w:type="paragraph" w:customStyle="1" w:styleId="Para-Clause">
    <w:name w:val="Para - Clause"/>
    <w:basedOn w:val="Title-Clause"/>
    <w:qFormat/>
    <w:rsid w:val="001C2319"/>
    <w:pPr>
      <w:spacing w:before="120"/>
    </w:pPr>
    <w:rPr>
      <w:b w:val="0"/>
    </w:rPr>
  </w:style>
  <w:style w:type="paragraph" w:customStyle="1" w:styleId="CoversheetParagraph">
    <w:name w:val="Coversheet Paragraph"/>
    <w:basedOn w:val="Normal"/>
    <w:autoRedefine/>
    <w:rsid w:val="001C2319"/>
    <w:pPr>
      <w:spacing w:after="0"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1C2319"/>
    <w:rPr>
      <w:smallCaps w:val="0"/>
      <w:sz w:val="22"/>
    </w:rPr>
  </w:style>
  <w:style w:type="paragraph" w:customStyle="1" w:styleId="CoversheetStaticText">
    <w:name w:val="Coversheet Static Text"/>
    <w:basedOn w:val="CoversheetIntro"/>
    <w:qFormat/>
    <w:rsid w:val="001C2319"/>
    <w:rPr>
      <w:b w:val="0"/>
    </w:rPr>
  </w:style>
  <w:style w:type="paragraph" w:customStyle="1" w:styleId="CoversheetParty">
    <w:name w:val="Coversheet Party"/>
    <w:basedOn w:val="CoversheetIntro"/>
    <w:qFormat/>
    <w:rsid w:val="001C2319"/>
  </w:style>
  <w:style w:type="paragraph" w:customStyle="1" w:styleId="NoNumUntitledClause">
    <w:name w:val="No Num Untitled Clause"/>
    <w:basedOn w:val="UntitledClause"/>
    <w:qFormat/>
    <w:rsid w:val="001C2319"/>
    <w:pPr>
      <w:numPr>
        <w:numId w:val="0"/>
      </w:numPr>
      <w:ind w:left="720"/>
    </w:pPr>
  </w:style>
  <w:style w:type="paragraph" w:customStyle="1" w:styleId="BackgroundSubclause1">
    <w:name w:val="Background Subclause1"/>
    <w:basedOn w:val="Background"/>
    <w:qFormat/>
    <w:rsid w:val="001C2319"/>
    <w:pPr>
      <w:numPr>
        <w:ilvl w:val="1"/>
      </w:numPr>
    </w:pPr>
  </w:style>
  <w:style w:type="paragraph" w:customStyle="1" w:styleId="BackgroundSubclause2">
    <w:name w:val="Background Subclause2"/>
    <w:basedOn w:val="Background"/>
    <w:qFormat/>
    <w:rsid w:val="001C2319"/>
    <w:pPr>
      <w:numPr>
        <w:ilvl w:val="3"/>
      </w:numPr>
    </w:pPr>
  </w:style>
  <w:style w:type="paragraph" w:customStyle="1" w:styleId="HeadingLevel2CQA">
    <w:name w:val="Heading Level 2 CQA"/>
    <w:basedOn w:val="HeadingLevel2"/>
    <w:qFormat/>
    <w:rsid w:val="001C2319"/>
  </w:style>
  <w:style w:type="paragraph" w:customStyle="1" w:styleId="ClauseBullet1">
    <w:name w:val="Clause Bullet 1"/>
    <w:basedOn w:val="ParaClause"/>
    <w:qFormat/>
    <w:rsid w:val="001C2319"/>
    <w:pPr>
      <w:numPr>
        <w:numId w:val="13"/>
      </w:numPr>
      <w:ind w:left="1077" w:hanging="357"/>
      <w:outlineLvl w:val="0"/>
    </w:pPr>
  </w:style>
  <w:style w:type="paragraph" w:customStyle="1" w:styleId="ClauseBullet2">
    <w:name w:val="Clause Bullet 2"/>
    <w:basedOn w:val="ParaClause"/>
    <w:qFormat/>
    <w:rsid w:val="001C2319"/>
    <w:pPr>
      <w:numPr>
        <w:numId w:val="14"/>
      </w:numPr>
      <w:ind w:left="1434" w:hanging="357"/>
      <w:outlineLvl w:val="1"/>
    </w:pPr>
  </w:style>
  <w:style w:type="paragraph" w:customStyle="1" w:styleId="subclause1Bullet1">
    <w:name w:val="subclause 1 Bullet 1"/>
    <w:basedOn w:val="Parasubclause1"/>
    <w:qFormat/>
    <w:rsid w:val="001C2319"/>
    <w:pPr>
      <w:numPr>
        <w:numId w:val="15"/>
      </w:numPr>
      <w:ind w:left="1077" w:hanging="357"/>
    </w:pPr>
  </w:style>
  <w:style w:type="paragraph" w:customStyle="1" w:styleId="subclause2Bullet1">
    <w:name w:val="subclause 2 Bullet 1"/>
    <w:basedOn w:val="Parasubclause2"/>
    <w:qFormat/>
    <w:rsid w:val="001C2319"/>
    <w:pPr>
      <w:numPr>
        <w:numId w:val="17"/>
      </w:numPr>
      <w:ind w:left="1434" w:hanging="357"/>
    </w:pPr>
  </w:style>
  <w:style w:type="paragraph" w:customStyle="1" w:styleId="subclause3Bullet1">
    <w:name w:val="subclause 3 Bullet 1"/>
    <w:basedOn w:val="Parasubclause3"/>
    <w:qFormat/>
    <w:rsid w:val="001C2319"/>
    <w:pPr>
      <w:numPr>
        <w:numId w:val="16"/>
      </w:numPr>
      <w:ind w:left="2273" w:hanging="357"/>
    </w:pPr>
  </w:style>
  <w:style w:type="paragraph" w:customStyle="1" w:styleId="subclause1Bullet2">
    <w:name w:val="subclause 1 Bullet 2"/>
    <w:basedOn w:val="Parasubclause1"/>
    <w:qFormat/>
    <w:rsid w:val="001C2319"/>
    <w:pPr>
      <w:numPr>
        <w:numId w:val="18"/>
      </w:numPr>
      <w:ind w:left="1434" w:hanging="357"/>
    </w:pPr>
  </w:style>
  <w:style w:type="paragraph" w:customStyle="1" w:styleId="subclause2Bullet2">
    <w:name w:val="subclause 2 Bullet 2"/>
    <w:basedOn w:val="Parasubclause2"/>
    <w:qFormat/>
    <w:rsid w:val="001C2319"/>
    <w:pPr>
      <w:numPr>
        <w:numId w:val="19"/>
      </w:numPr>
      <w:ind w:left="2273" w:hanging="357"/>
    </w:pPr>
  </w:style>
  <w:style w:type="paragraph" w:customStyle="1" w:styleId="subclause3Bullet2">
    <w:name w:val="subclause 3 Bullet 2"/>
    <w:basedOn w:val="Parasubclause3"/>
    <w:qFormat/>
    <w:rsid w:val="001C2319"/>
    <w:pPr>
      <w:numPr>
        <w:numId w:val="20"/>
      </w:numPr>
      <w:ind w:left="2982" w:hanging="357"/>
    </w:pPr>
  </w:style>
  <w:style w:type="paragraph" w:customStyle="1" w:styleId="DefinedTermBullet">
    <w:name w:val="Defined Term Bullet"/>
    <w:basedOn w:val="DefinedTermPara"/>
    <w:qFormat/>
    <w:rsid w:val="001C2319"/>
    <w:pPr>
      <w:numPr>
        <w:numId w:val="21"/>
      </w:numPr>
    </w:pPr>
  </w:style>
  <w:style w:type="paragraph" w:customStyle="1" w:styleId="DefinedTermNumber">
    <w:name w:val="Defined Term Number"/>
    <w:basedOn w:val="DefinedTermPara"/>
    <w:qFormat/>
    <w:rsid w:val="001C2319"/>
    <w:pPr>
      <w:numPr>
        <w:ilvl w:val="1"/>
      </w:numPr>
    </w:pPr>
  </w:style>
  <w:style w:type="paragraph" w:customStyle="1" w:styleId="AdditionalTitle">
    <w:name w:val="Additional Title"/>
    <w:basedOn w:val="Paragraph"/>
    <w:qFormat/>
    <w:rsid w:val="001C2319"/>
    <w:pPr>
      <w:jc w:val="left"/>
    </w:pPr>
    <w:rPr>
      <w:b/>
      <w:sz w:val="24"/>
    </w:rPr>
  </w:style>
  <w:style w:type="character" w:customStyle="1" w:styleId="error">
    <w:name w:val="error"/>
    <w:basedOn w:val="DefaultParagraphFont"/>
    <w:rsid w:val="001C2319"/>
    <w:rPr>
      <w:color w:val="000000"/>
    </w:rPr>
  </w:style>
  <w:style w:type="paragraph" w:customStyle="1" w:styleId="NoNumUntitledsubclause1">
    <w:name w:val="No Num Untitled subclause 1"/>
    <w:basedOn w:val="Untitledsubclause1"/>
    <w:qFormat/>
    <w:rsid w:val="001C2319"/>
    <w:pPr>
      <w:numPr>
        <w:ilvl w:val="0"/>
        <w:numId w:val="0"/>
      </w:numPr>
      <w:ind w:left="720"/>
    </w:pPr>
  </w:style>
  <w:style w:type="paragraph" w:customStyle="1" w:styleId="BackgroundParaClause">
    <w:name w:val="Background Para Clause"/>
    <w:basedOn w:val="Background"/>
    <w:qFormat/>
    <w:rsid w:val="001C2319"/>
    <w:pPr>
      <w:numPr>
        <w:numId w:val="0"/>
      </w:numPr>
    </w:pPr>
  </w:style>
  <w:style w:type="paragraph" w:customStyle="1" w:styleId="BackgroundParaSubclause1">
    <w:name w:val="Background Para Subclause1"/>
    <w:basedOn w:val="BackgroundSubclause1"/>
    <w:qFormat/>
    <w:rsid w:val="001C2319"/>
    <w:pPr>
      <w:numPr>
        <w:ilvl w:val="0"/>
        <w:numId w:val="0"/>
      </w:numPr>
      <w:ind w:left="994"/>
    </w:pPr>
    <w:rPr>
      <w:lang w:val="en-US"/>
    </w:rPr>
  </w:style>
  <w:style w:type="paragraph" w:customStyle="1" w:styleId="BackgroundParaSubclause2">
    <w:name w:val="Background Para Subclause2"/>
    <w:basedOn w:val="BackgroundSubclause2"/>
    <w:qFormat/>
    <w:rsid w:val="001C2319"/>
    <w:pPr>
      <w:numPr>
        <w:ilvl w:val="0"/>
        <w:numId w:val="0"/>
      </w:numPr>
      <w:ind w:left="1701"/>
    </w:pPr>
    <w:rPr>
      <w:lang w:val="en-US"/>
    </w:rPr>
  </w:style>
  <w:style w:type="paragraph" w:customStyle="1" w:styleId="ClauseBulletPara">
    <w:name w:val="Clause Bullet Para"/>
    <w:basedOn w:val="ClauseBullet1"/>
    <w:qFormat/>
    <w:rsid w:val="001C2319"/>
    <w:pPr>
      <w:numPr>
        <w:numId w:val="0"/>
      </w:numPr>
      <w:ind w:left="1080"/>
    </w:pPr>
    <w:rPr>
      <w:lang w:val="en-US"/>
    </w:rPr>
  </w:style>
  <w:style w:type="paragraph" w:customStyle="1" w:styleId="ClauseBullet2Para">
    <w:name w:val="Clause Bullet 2 Para"/>
    <w:basedOn w:val="ClauseBullet2"/>
    <w:qFormat/>
    <w:rsid w:val="001C2319"/>
    <w:pPr>
      <w:numPr>
        <w:numId w:val="0"/>
      </w:numPr>
      <w:ind w:left="1440"/>
    </w:pPr>
    <w:rPr>
      <w:lang w:val="en-US"/>
    </w:rPr>
  </w:style>
  <w:style w:type="paragraph" w:customStyle="1" w:styleId="ACTJurisdictionCheckList">
    <w:name w:val="ACTJurisdictionCheckList"/>
    <w:basedOn w:val="Normal"/>
    <w:rsid w:val="001C2319"/>
    <w:pPr>
      <w:spacing w:after="120" w:line="300" w:lineRule="atLeast"/>
    </w:pPr>
    <w:rPr>
      <w:rFonts w:ascii="Arial" w:eastAsia="Arial Unicode MS" w:hAnsi="Arial" w:cs="Arial"/>
      <w:b/>
      <w:color w:val="000000"/>
      <w:sz w:val="28"/>
    </w:rPr>
  </w:style>
  <w:style w:type="paragraph" w:customStyle="1" w:styleId="JurisdictionDraftingnoteTitle">
    <w:name w:val="Jurisdiction Draftingnote Title"/>
    <w:basedOn w:val="DraftingnoteTitle"/>
    <w:qFormat/>
    <w:rsid w:val="001C2319"/>
  </w:style>
  <w:style w:type="paragraph" w:customStyle="1" w:styleId="ScheduleTitleClause">
    <w:name w:val="Schedule Title Clause"/>
    <w:basedOn w:val="Normal"/>
    <w:rsid w:val="001C2319"/>
    <w:pPr>
      <w:keepNext/>
      <w:numPr>
        <w:numId w:val="59"/>
      </w:numPr>
      <w:spacing w:before="240" w:after="240" w:line="300" w:lineRule="atLeast"/>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1C2319"/>
    <w:pPr>
      <w:numPr>
        <w:ilvl w:val="1"/>
        <w:numId w:val="59"/>
      </w:numPr>
      <w:spacing w:before="280" w:after="120" w:line="300" w:lineRule="atLeast"/>
      <w:jc w:val="both"/>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1C2319"/>
    <w:pPr>
      <w:numPr>
        <w:ilvl w:val="2"/>
        <w:numId w:val="59"/>
      </w:numPr>
      <w:spacing w:after="120" w:line="300" w:lineRule="atLeast"/>
      <w:jc w:val="both"/>
      <w:outlineLvl w:val="2"/>
    </w:pPr>
    <w:rPr>
      <w:rFonts w:ascii="Arial" w:eastAsia="Arial Unicode MS" w:hAnsi="Arial" w:cs="Arial"/>
      <w:color w:val="000000"/>
      <w:szCs w:val="20"/>
    </w:rPr>
  </w:style>
  <w:style w:type="paragraph" w:customStyle="1" w:styleId="ScheduleUntitledsubclause3">
    <w:name w:val="Schedule Untitled subclause 3"/>
    <w:basedOn w:val="Normal"/>
    <w:rsid w:val="001C2319"/>
    <w:pPr>
      <w:numPr>
        <w:ilvl w:val="3"/>
        <w:numId w:val="59"/>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ScheduleUntitledsubclause4">
    <w:name w:val="Schedule Untitled subclause 4"/>
    <w:basedOn w:val="Normal"/>
    <w:rsid w:val="001C2319"/>
    <w:pPr>
      <w:spacing w:after="120" w:line="300" w:lineRule="atLeast"/>
      <w:jc w:val="both"/>
      <w:outlineLvl w:val="4"/>
    </w:pPr>
    <w:rPr>
      <w:rFonts w:ascii="Arial" w:eastAsia="Arial Unicode MS" w:hAnsi="Arial" w:cs="Arial"/>
      <w:color w:val="000000"/>
      <w:szCs w:val="20"/>
    </w:rPr>
  </w:style>
  <w:style w:type="paragraph" w:customStyle="1" w:styleId="BulletListPattern1">
    <w:name w:val="Bullet List Pattern 1"/>
    <w:basedOn w:val="BulletList1"/>
    <w:qFormat/>
    <w:rsid w:val="001C2319"/>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1C2319"/>
    <w:pPr>
      <w:shd w:val="clear" w:color="auto" w:fill="D9D9D9" w:themeFill="background1" w:themeFillShade="D9"/>
      <w:ind w:left="1077"/>
    </w:pPr>
  </w:style>
  <w:style w:type="paragraph" w:customStyle="1" w:styleId="ScheduleUntitledClause">
    <w:name w:val="Schedule Untitled Clause"/>
    <w:basedOn w:val="ScheduleTitleClause"/>
    <w:qFormat/>
    <w:rsid w:val="001C2319"/>
    <w:pPr>
      <w:spacing w:before="120"/>
    </w:pPr>
    <w:rPr>
      <w:b w:val="0"/>
    </w:rPr>
  </w:style>
  <w:style w:type="paragraph" w:customStyle="1" w:styleId="EmptyClausePara">
    <w:name w:val="Empty Clause Para"/>
    <w:basedOn w:val="IgnoredSpacing"/>
    <w:qFormat/>
    <w:rsid w:val="001C2319"/>
  </w:style>
  <w:style w:type="paragraph" w:styleId="ListParagraph">
    <w:name w:val="List Paragraph"/>
    <w:basedOn w:val="Normal"/>
    <w:uiPriority w:val="34"/>
    <w:qFormat/>
    <w:rsid w:val="001C2319"/>
    <w:pPr>
      <w:ind w:left="720"/>
      <w:contextualSpacing/>
    </w:pPr>
    <w:rPr>
      <w:color w:val="000000"/>
    </w:rPr>
  </w:style>
  <w:style w:type="paragraph" w:customStyle="1" w:styleId="ScheduleTitlesubclause1">
    <w:name w:val="Schedule Title subclause1"/>
    <w:basedOn w:val="ScheduleUntitledsubclause1"/>
    <w:qFormat/>
    <w:rsid w:val="001C2319"/>
    <w:pPr>
      <w:spacing w:before="120"/>
    </w:pPr>
    <w:rPr>
      <w:b/>
    </w:rPr>
  </w:style>
  <w:style w:type="paragraph" w:customStyle="1" w:styleId="835FF0B0D5344FE4A8EE41F54AA7E17C16">
    <w:name w:val="835FF0B0D5344FE4A8EE41F54AA7E17C16"/>
    <w:rsid w:val="001B52B3"/>
    <w:pPr>
      <w:spacing w:after="120" w:line="240" w:lineRule="auto"/>
    </w:pPr>
    <w:rPr>
      <w:rFonts w:ascii="Arial" w:eastAsia="Times New Roman" w:hAnsi="Arial" w:cs="Times New Roman"/>
      <w:color w:val="000000"/>
      <w:sz w:val="24"/>
      <w:szCs w:val="24"/>
      <w:lang w:val="en-US" w:eastAsia="en-US"/>
    </w:rPr>
  </w:style>
  <w:style w:type="character" w:styleId="CommentReference">
    <w:name w:val="annotation reference"/>
    <w:basedOn w:val="DefaultParagraphFont"/>
    <w:semiHidden/>
    <w:unhideWhenUsed/>
    <w:rsid w:val="00F404C0"/>
    <w:rPr>
      <w:color w:val="000000"/>
      <w:sz w:val="16"/>
      <w:szCs w:val="16"/>
    </w:rPr>
  </w:style>
  <w:style w:type="paragraph" w:styleId="CommentText">
    <w:name w:val="annotation text"/>
    <w:basedOn w:val="Normal"/>
    <w:link w:val="CommentTextChar"/>
    <w:uiPriority w:val="99"/>
    <w:unhideWhenUsed/>
    <w:rsid w:val="00F404C0"/>
    <w:pPr>
      <w:spacing w:line="240" w:lineRule="auto"/>
    </w:pPr>
    <w:rPr>
      <w:color w:val="000000"/>
      <w:sz w:val="20"/>
      <w:szCs w:val="20"/>
    </w:rPr>
  </w:style>
  <w:style w:type="character" w:customStyle="1" w:styleId="CommentTextChar">
    <w:name w:val="Comment Text Char"/>
    <w:basedOn w:val="DefaultParagraphFont"/>
    <w:link w:val="CommentText"/>
    <w:uiPriority w:val="99"/>
    <w:rsid w:val="00F404C0"/>
    <w:rPr>
      <w:color w:val="000000"/>
      <w:sz w:val="20"/>
      <w:szCs w:val="20"/>
    </w:rPr>
  </w:style>
  <w:style w:type="paragraph" w:styleId="CommentSubject">
    <w:name w:val="annotation subject"/>
    <w:basedOn w:val="CommentText"/>
    <w:next w:val="CommentText"/>
    <w:link w:val="CommentSubjectChar"/>
    <w:uiPriority w:val="99"/>
    <w:semiHidden/>
    <w:unhideWhenUsed/>
    <w:rsid w:val="00F404C0"/>
    <w:rPr>
      <w:b/>
      <w:bCs/>
    </w:rPr>
  </w:style>
  <w:style w:type="character" w:customStyle="1" w:styleId="CommentSubjectChar">
    <w:name w:val="Comment Subject Char"/>
    <w:basedOn w:val="CommentTextChar"/>
    <w:link w:val="CommentSubject"/>
    <w:uiPriority w:val="99"/>
    <w:semiHidden/>
    <w:rsid w:val="00F404C0"/>
    <w:rPr>
      <w:b/>
      <w:bCs/>
      <w:color w:val="000000"/>
      <w:sz w:val="20"/>
      <w:szCs w:val="20"/>
    </w:rPr>
  </w:style>
  <w:style w:type="paragraph" w:customStyle="1" w:styleId="SectorSpecificNoteTitle">
    <w:name w:val="Sector Specific Note Title"/>
    <w:basedOn w:val="JurisdictionDraftingnoteTitle"/>
    <w:qFormat/>
    <w:rsid w:val="001C2319"/>
  </w:style>
  <w:style w:type="character" w:customStyle="1" w:styleId="UnresolvedMention1">
    <w:name w:val="Unresolved Mention1"/>
    <w:basedOn w:val="DefaultParagraphFont"/>
    <w:uiPriority w:val="99"/>
    <w:semiHidden/>
    <w:unhideWhenUsed/>
    <w:rsid w:val="00C35BBE"/>
    <w:rPr>
      <w:color w:val="000000"/>
      <w:shd w:val="clear" w:color="auto" w:fill="E6E6E6"/>
    </w:rPr>
  </w:style>
  <w:style w:type="table" w:customStyle="1" w:styleId="ShadedTable1">
    <w:name w:val="Shaded Table1"/>
    <w:basedOn w:val="TableNormal"/>
    <w:uiPriority w:val="99"/>
    <w:rsid w:val="001C2319"/>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1C2319"/>
    <w:rPr>
      <w:color w:val="000000"/>
    </w:rPr>
  </w:style>
  <w:style w:type="paragraph" w:styleId="Revision">
    <w:name w:val="Revision"/>
    <w:hidden/>
    <w:uiPriority w:val="99"/>
    <w:semiHidden/>
    <w:rsid w:val="00F367B4"/>
    <w:pPr>
      <w:spacing w:after="0" w:line="240" w:lineRule="auto"/>
    </w:pPr>
    <w:rPr>
      <w:color w:val="000000"/>
    </w:rPr>
  </w:style>
  <w:style w:type="character" w:customStyle="1" w:styleId="IgnoredEmptysubclauseChar">
    <w:name w:val="Ignored Empty subclause Char"/>
    <w:basedOn w:val="DefaultParagraphFont"/>
    <w:link w:val="IgnoredEmptysubclause"/>
    <w:rsid w:val="001C2319"/>
    <w:rPr>
      <w:color w:val="000000"/>
    </w:rPr>
  </w:style>
  <w:style w:type="paragraph" w:customStyle="1" w:styleId="6B1115FCC3DC4C6AB2CF846F0C50B663">
    <w:name w:val="6B1115FCC3DC4C6AB2CF846F0C50B663"/>
    <w:rsid w:val="00C1338C"/>
    <w:pPr>
      <w:spacing w:line="276" w:lineRule="auto"/>
    </w:pPr>
    <w:rPr>
      <w:color w:val="000000"/>
    </w:rPr>
  </w:style>
  <w:style w:type="numbering" w:customStyle="1" w:styleId="ScheduleListStyle">
    <w:name w:val="ScheduleListStyle"/>
    <w:pPr>
      <w:numPr>
        <w:numId w:val="50"/>
      </w:numPr>
    </w:pPr>
  </w:style>
  <w:style w:type="numbering" w:customStyle="1" w:styleId="PartListStyle">
    <w:name w:val="PartListStyle"/>
    <w:pPr>
      <w:numPr>
        <w:numId w:val="54"/>
      </w:numPr>
    </w:pPr>
  </w:style>
  <w:style w:type="numbering" w:customStyle="1" w:styleId="ClauseListStyle">
    <w:name w:val="ClauseListStyle"/>
    <w:pPr>
      <w:numPr>
        <w:numId w:val="58"/>
      </w:numPr>
    </w:pPr>
  </w:style>
  <w:style w:type="paragraph" w:styleId="TOC1">
    <w:name w:val="toc 1"/>
    <w:basedOn w:val="Normal"/>
    <w:next w:val="Normal"/>
    <w:autoRedefine/>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n-document xmlns:xsd="http://www.w3.org/2001/XMLSchema" xmlns:xsi="http://www.w3.org/2001/XMLSchema-instance" guid="0" synced="true" validated="true">
  <n-docbody>
    <standard.doc precedenttype="agreement">
      <prelim>
        <product.name>product.name0</product.name>
        <title>Consultancy agreement</title>
        <author>
          <link href="http://uk.practicallaw.com/about/our-team/uk-employment" style="ACTLinkURL">
            <ital>Practical Law Employment</ital>
          </link>
        </author>
        <resource.type>Standard documents</resource.type>
        <juris>juris0</juris>
        <juris>juris1</juris>
      </prelim>
      <abstract>
        <para>
          <paratext>A contract for services between an independent contractor (a self-employed individual) and a client company for the provision of consultancy services. This contract is intended for use by clients when they are engaging a consultant to provide professional services and where the engagement will not be deemed employment for the purposes of the IR35 or off-payroll working rules because the consultant will not be providing their services via an intermediary.</paratext>
        </para>
        <para>
          <paratext>
            For a contract for services governed by Scots law, see 
            <link href="w-016-4534" style="ACTLinkPLCtoPLC">
              <ital>Standard document, Consultancy agreement (Scotland)</ital>
            </link>
            .
          </paratext>
        </para>
        <para>
          <paratext/>
        </para>
      </abstract>
      <toc.identifier hasToc="true"/>
      <body>
        <drafting.note id="a351816" jurisdiction="">
          <head align="left" preservecase="true">
            <headtext>About this document</headtext>
          </head>
          <division id="a000007" level="1">
            <para>
              <paratext>The consultancy agreement is designed to be used where an individual consultant provides professional consultancy services to a client (which is assumed to be a company in this standard document). It is drafted on the basis that the consultant is genuinely self-employed and is not an employee or worker of the client for employment law purposes.</paratext>
            </para>
            <para>
              <paratext>
                A consultancy arrangement may be an attractive option for both client and consultant, in part because of the tax advantages. However, the fact that an arrangement is structured and documented as a 
                <link href="2-200-3109" style="ACTLinkPLCtoPLC">
                  <ital>contract for services</ital>
                </link>
                 and not a 
                <link href="5-200-3117" style="ACTLinkPLCtoPLC">
                  <ital>contract of employment</ital>
                </link>
                 will not be conclusive as a matter of employment law or with regard to the individual's tax status (see 
                <internal.reference refid="a92994">
                  <ital>Drafting note, Legal issues</ital>
                </internal.reference>
                ). The reality of the relationship will be key.
              </paratext>
            </para>
            <para>
              <paratext>
                For a consultancy agreement via a service company, which takes into account deemed employment status for tax purposes under the IR35, off-payroll working and managed service companies regimes, see 
                <link href="7-200-2145" style="ACTLinkPLCtoPLC">
                  <ital>Standard document, Consultancy agreement via a service company</ital>
                </link>
                 and, in particular, 
                <link anchor="a793362" href="7-200-2145" style="ACTLinkPLCtoPLC">
                  <ital>Drafting note: Tax: deemed employment status</ital>
                </link>
                . This long-form consultancy agreement does not provide for the consultant to provide their services through an intermediary. As a result, we do not address these regimes in this document.
              </paratext>
            </para>
            <division id="a146588" level="2">
              <head align="left" preservecase="true">
                <headtext>Consultants engaged on an ad hoc basis</headtext>
              </head>
              <para>
                <paratext>
                  If the client will be engaging the consultant on an ad hoc basis, it may want to enter into a "framework" agreement with the consultant, with separate letters of instruction (or similar) to be provided in advance of each new instruction. To do this, this agreement would need to be amended to reflect this approach. If the client adopts a "framework" approach, it should avoid inadvertently establishing a casual worker contract (see 
                  <link href="7-384-9765" style="ACTLinkPLCtoPLC">
                    <ital>Standard document, Casual worker contract</ital>
                  </link>
                   and 
                  <link href="7-383-5377" style="ACTLinkPLCtoPLC">
                    <ital>Practice note, Casual workers</ital>
                  </link>
                  ).
                </paratext>
              </para>
              <para>
                <paratext>If your client is the consultant rather than the client, keep in mind that this standard agreement is written in favour of the contracting company and amendment will therefore be required.</paratext>
              </para>
            </division>
          </division>
          <division id="a92994" level="1">
            <head align="left" preservecase="true">
              <headtext>Legal issues</headtext>
            </head>
            <division id="a862104" level="2">
              <head align="left" preservecase="true">
                <headtext>Status of the consultant</headtext>
              </head>
              <para>
                <paratext>
                  The question of whether the consultant is employed, self-employed (that is, in business on their own account) or a 
                  <link href="6-200-3640" style="ACTLinkPLCtoPLC">
                    <ital>worker</ital>
                  </link>
                   (for employment law purposes, as an individual is either employed or self-employed for tax purposes; there is no third category of "worker") is important because, among other things, it will determine:
                </paratext>
              </para>
              <list type="bulleted">
                <list.item>
                  <para>
                    <paratext>The basis on which the consultant's income is taxed.</paratext>
                  </para>
                </list.item>
                <list.item>
                  <para>
                    <paratext>
                      Whether the client will be required to make deductions of income tax and employee 
                      <link href="8-201-8297" style="ACTLinkPLCtoPLC">
                        <ital>National Insurance contributions</ital>
                      </link>
                       (NICs) from the consultant's fees and pay employer NICs.
                    </paratext>
                  </para>
                </list.item>
                <list.item>
                  <para>
                    <paratext>Whether the consultant will have the benefit of various employment protection rights available to employees, or the more limited rights available to workers.</paratext>
                  </para>
                </list.item>
                <list.item>
                  <para>
                    <paratext>Whether the individual is owed the common law and statutory duties relating to health and safety owed by an employer to its employees, or whether the individual (as an independent contractor) is responsible for their own safety.</paratext>
                  </para>
                </list.item>
              </list>
              <para>
                <paratext>
                  (See 
                  <link anchor="a831704" href="6-200-4244" style="ACTLinkPLCtoPLC">
                    <ital>Practice notes, Employment status (1): employee, worker or self-employed?: Why does employment status matter?</ital>
                  </link>
                  <ital> </ital>
                  and 
                  <link anchor="a1045629" href="7-520-0316" style="ACTLinkPLCtoPLC">
                    <ital>Consultants: Employment status of consultants</ital>
                  </link>
                  .)
                </paratext>
              </para>
              <para>
                <paratext>
                  Keep in mind that the consultant may have protection under discrimination legislation even if their status is not that of an employee or a worker. For further information, see 
                  <link anchor="a62527" href="6-200-4244" style="ACTLinkPLCtoPLC">
                    <ital>Practice note, Employment status (1): employee, worker or self-employed?: "Employment" for other purposes: Discrimination</ital>
                  </link>
                  .
                </paratext>
              </para>
              <para>
                <paratext>
                  <link href="6-200-6399" style="ACTLinkPLCtoPLC">
                    <ital>HM Revenue &amp; Customs</ital>
                  </link>
                   (HMRC) is responsible for determining questions of status in relation to tax. Putative employers and employees can, however, challenge HMRC's status ruling by way of an appeal against the tax or NICs liability in question to the tax tribunals.
                </paratext>
              </para>
              <para>
                <paratext>Employment tribunals or the courts determine employment status in relation to employment protection legislation. It is possible for an individual to be an employee for the purposes of employment law but taxed on a self-employed basis (or vice versa). In reality, however, a finding of employment status for employment law purposes may well suggest that an employee is also an employee for tax purposes. For more information, see Practice notes:</paratext>
              </para>
              <list type="bulleted">
                <list.item>
                  <para>
                    <paratext>
                      <link anchor="a774496" href="7-520-0316" style="ACTLinkPLCtoPLC">
                        <ital>Consultants: Tax status of consultants</ital>
                      </link>
                      .
                    </paratext>
                  </para>
                </list.item>
                <list.item>
                  <para>
                    <paratext>
                      <link anchor="a182688" href="6-200-4244" style="ACTLinkPLCtoPLC">
                        <ital>Employment status (1): employee, worker or self-employed?: "Employment" for other purposes: Tax</ital>
                      </link>
                      .
                    </paratext>
                  </para>
                </list.item>
                <list.item>
                  <para>
                    <paratext>
                      <link href="6-200-2122" style="ACTLinkPLCtoPLC">
                        <ital>Taxation of employees</ital>
                      </link>
                      .
                    </paratext>
                  </para>
                </list.item>
              </list>
              <para>
                <paratext>The reality of the relationship, rather than the legal form or any labels that the parties give to the relationship, will be determinative.</paratext>
              </para>
            </division>
            <division id="a551843" level="2">
              <head align="left" preservecase="true">
                <headtext>Commercial Agents Regulations</headtext>
              </head>
              <para>
                <paratext>
                  Clients should be aware that the consultant could be a "commercial agent" under the 
                  <link href="7-506-9241" style="ACTLinkPLCtoPLC">
                    <ital>Commercial Agents (Council Directive) Regulations 1993 (SI 1993/3053)</ital>
                  </link>
                   (Commercial Agents Regulations). The Commercial Agents Regulations apply to all self-employed "intermediaries" with "continuing authority" to negotiate or conclude the sale or purchase of goods on behalf of another. Key features are that:
                </paratext>
              </para>
              <list type="bulleted">
                <list.item>
                  <para>
                    <paratext>Agents are entitled to the same remuneration as other agents who are engaged to sell the same goods and who are operating in the same area.</paratext>
                  </para>
                </list.item>
                <list.item>
                  <para>
                    <paratext>On termination of the agency arrangement, the agent is (in addition to any damages for breach of contract) entitled to either an "indemnity" (which is a payment the parties agree represents a certain amount of forecast loss) or, if no indemnity has been agreed, compensation for damages which the agent suffers as a result of the termination. There is no duty to mitigate in either case.</paratext>
                  </para>
                </list.item>
                <list.item>
                  <para>
                    <paratext>Minimum notice periods are implied into any agency arrangement. The minimum notice required from either party is one month during the first year of the agreement, increasing to two months during the second year and three months in the third and subsequent years. It is possible to agree a longer notice period, provided that the principal does not have to give less notice than the agent.</paratext>
                  </para>
                </list.item>
              </list>
              <para>
                <paratext>
                  For further information, see 
                  <link href="8-107-3647" style="ACTLinkPLCtoPLC">
                    <ital>Practice note, Commercial agents</ital>
                  </link>
                  .
                </paratext>
              </para>
            </division>
          </division>
          <division id="a745277" level="1">
            <head align="left" preservecase="true">
              <headtext>Negotiating and drafting issues</headtext>
            </head>
            <division id="a155988" level="2">
              <head align="left" preservecase="true">
                <headtext>Employment status</headtext>
              </head>
              <para>
                <paratext>
                  The client and the consultant will usually have a common interest in trying to ensure that the consultancy agreement contains as many indicators of self-employment as possible because of the favourable tax treatment for consultants and (from the client's point of view) the avoidance of employment-related liabilities. However, as stated above, this will not determine that the consultancy agreement is a contract for services if the substance of the underlying relationship suggests otherwise (see 
                  <internal.reference refid="a862104">
                    <ital>Drafting note, Status of the consultant</ital>
                  </internal.reference>
                   and 
                  <internal.reference refid="a533593">
                    <ital>Drafting note, Parties' intention</ital>
                  </internal.reference>
                  ). The reality of the relationship between the client and the consultant will always be examined. The extension of the off-payroll working rules to the private sector from April 2021 (see 
                  <link href="w-028-8377" style="ACTLinkPLCtoPLC">
                    <ital>Practice note, Workers' services provided through intermediaries: off-payroll working rules for private sector entities</ital>
                  </link>
                  ) demonstrated HMRC's renewed focus on the tax arrangements for consultants.
                </paratext>
              </para>
              <para>
                <paratext>
                  This standard document is drafted on the basis that the consultant is neither an employee nor a worker for employment law purposes (see 
                  <internal.reference refid="a862104">
                    <ital>Drafting note, Status of the consultant</ital>
                  </internal.reference>
                   above) and is genuinely self-employed. However, it is possible that certain consultants will fall within the definition of "worker" (see 
                  <link href="2-201-1109" style="ACTLinkPLCtoPLC">
                    <ital>Checklist, Information needed to establish employment status</ital>
                  </link>
                  ). If a consultant is a worker, they will have the benefit of, for example, protection under the 
                  <link href="4-506-3858" style="ACTLinkPLCtoPLC">
                    <ital>Working Time Regulations 1998 (SI 1998/1833)</ital>
                  </link>
                   (WTR 1998), the 
                  <link href="9-604-7365" style="ACTLinkPLCtoPLC">
                    <ital>National Minimum Wage Regulations 2015 (SI 2015/621)</ital>
                  </link>
                   and the 
                  <link href="7-508-1380" style="ACTLinkPLCtoPLC">
                    <ital>Part-time Workers (Prevention of Less Favourable Treatment) Regulations 2000 (SI 2000/1551)</ital>
                  </link>
                   (see 
                  <link href="9-200-2149" style="ACTLinkPLCtoPLC">
                    <ital>Checklist, Statutory rights of workers and employees</ital>
                  </link>
                   for a complete list of workers' statutory rights).
                </paratext>
              </para>
              <para>
                <paratext>
                  When issuing a consultancy agreement to a former employee, the client should try to make the terms as different as possible to the terms of the previous employment contract. If the nature of the work is similar to the work previously carried out on an employment basis, the consultancy arrangement may be deemed to be a continuation of the employment relationship (
                  <link href="http://uk.practicallaw.com/D-007-2822" style="ACTLinkURL">
                    <ital>Demibourne Ltd v HM Revenue and Customs [2005] SpC 00486</ital>
                  </link>
                  ). See 
                  <link anchor="a471889" href="7-520-0316" style="ACTLinkPLCtoPLC">
                    <ital>Practice note, Consultants: What happens when an employee becomes a consultant?</ital>
                  </link>
                  .
                </paratext>
              </para>
            </division>
            <division id="a161205" level="2">
              <head align="left" preservecase="true">
                <headtext>Commercial Agents Regulations</headtext>
              </head>
              <para>
                <paratext>The standard document is drafted on the basis that the Commercial Agents Regulations do not apply. If it is possible that the consultant could be a commercial agent within the Commercial Agents Regulations and a reasonable indemnity cannot be agreed, the client should consider if it would be preferable to engage the consultant as an employee rather than take the risk of an expensive compensation claim on termination of the arrangement.</paratext>
              </para>
            </division>
            <division id="a362444" level="2">
              <head align="left" preservecase="true">
                <headtext>Use of AI by consultant</headtext>
              </head>
              <para>
                <paratext>If the consultant may be using AI, either directly or indirectly, in the provision of services to the client, the client should consider whether this is acceptable to it and what legal and practical issues may arise.</paratext>
              </para>
              <para>
                <paratext>
                  For a checklist of key contractual considerations when negotiating a commercial agreement for the provision of services, see 
                  <link href="w-044-6735" style="ACTLinkPLCtoPLC">
                    <ital>Use of AI in non-AI services contracts (UK): checklist</ital>
                  </link>
                  . While this standard consultancy agreement is not drafted on the basis that the consultant will be using AI and the checklist assumes that the agreement is between two businesses (rather than a business and an individual), it may nevertheless be a helpful starting point when tailoring this agreement to reflect the use of AI by the consultant.
                </paratext>
              </para>
            </division>
          </division>
          <division id="a313144" level="1">
            <head align="left" preservecase="true">
              <headtext>IT-specific aspects of consultancy</headtext>
            </head>
            <division id="a217515" level="2">
              <head align="left" preservecase="true">
                <headtext>Contractual relationship for which this standard document is appropriate</headtext>
              </head>
              <para>
                <paratext>
                  This standard document can be used where a consultant is engaged by a company to advise on IT issues on an ongoing, rather than a project, basis. If you are negotiating an agreement to provide or purchase services in relation to a specific project, structured so that the agreement will come to an end whenever that project is finished, it would be more appropriate to refer to the 
                  <link href="2-201-2284" style="ACTLinkPLCtoPLC">
                    <ital>Standard document, Agreement for the purchase of IT services (pro-customer)</ital>
                  </link>
                   or its pro-supplier 
                  <link href="2-201-2199" style="ACTLinkPLCtoPLC">
                    <ital>counterpart</ital>
                  </link>
                  .
                </paratext>
              </para>
              <para>
                <paratext>
                  If the services are being provided via a service company, see 
                  <link href="7-200-2145" style="ACTLinkPLCtoPLC">
                    <ital>Standard document, Consultancy agreement via a service company</ital>
                  </link>
                  .
                </paratext>
              </para>
            </division>
            <division id="a550407" level="2">
              <head align="left" preservecase="true">
                <headtext>Potential relevance of the Commercial Agents Regulations</headtext>
              </head>
              <para>
                <paratext>
                  <internal.reference refid="a551843">
                    <ital>Drafting note, Commercial Agents Regulations</ital>
                  </internal.reference>
                  <ital> </ital>
                  mentions the sale or purchase of goods by self-employed intermediaries who have continuing authority to negotiate or conclude such transactions. In the context of IT, such goods could potentially include items such as IT software.
                </paratext>
              </para>
            </division>
          </division>
        </drafting.note>
        <cover.sheet>
          <head align="left" preservecase="true">
            <headtext>Consultancy agreement</headtext>
          </head>
          <party.name>[FULL COMPANY NAME]</party.name>
          <AdditionalPartyType>
            <static.and>and</static.and>
            <party.name>[CONSULTANT'S NAME]</party.name>
          </AdditionalPartyType>
        </cover.sheet>
        <intro default="false">
          <intro.date>This agreement is dated [DATE].</intro.date>
        </intro>
        <parties>
          <head align="left" preservecase="true">
            <headtext>PARTIES</headtext>
          </head>
          <party executionmethod="contract" id="a365855" status="individual">
            <identifier>(1)</identifier>
            <defn.item>
              <defn>
                <para>
                  <paratext>[FULL COMPANY NAME] incorporated and registered in England and Wales with company number [NUMBER] whose registered office is at [REGISTERED OFFICE ADDRESS]</paratext>
                </para>
              </defn>
              <defn.term>Client</defn.term>
            </defn.item>
          </party>
          <party executionmethod="contract" id="a447867" status="individual">
            <identifier>(2)</identifier>
            <defn.item>
              <defn>
                <para>
                  <paratext>[INDIVIDUAL NAME] of [ADDRESS]</paratext>
                </para>
              </defn>
              <defn.term>Consultant</defn.term>
            </defn.item>
          </party>
        </parties>
        <operative xrefname="clause">
          <head align="left" preservecase="true">
            <headtext>Agreed terms</headtext>
          </head>
          <clause id="a284888">
            <identifier>1.</identifier>
            <head align="left" preservecase="true">
              <headtext>Interpretation</headtext>
            </head>
            <para>
              <paratext>The following definitions and rules of interpretation apply in this agreement (unless the context requires otherwise).</paratext>
            </para>
            <subclause1 id="a680097">
              <identifier>1.1</identifier>
              <para>
                <paratext>Definitions:</paratext>
              </para>
              <defn.item id="a535976">
                <defn.term>Board</defn.term>
                <defn>
                  <para>
                    <paratext>the board of directors of the Client (including any committee of the board duly appointed by it).</paratext>
                  </para>
                </defn>
              </defn.item>
              <defn.item id="a940965">
                <defn.term>Business of the Client</defn.term>
                <defn>
                  <para>
                    <paratext>[THE CLIENT'S MAIN BUSINESS PURPOSE AND ACTIVITIES].</paratext>
                  </para>
                </defn>
                <drafting.note id="a988650" jurisdiction="">
                  <head align="left" preservecase="true">
                    <headtext>Business of the Client</headtext>
                  </head>
                  <division id="a000008" level="1">
                    <para>
                      <paratext>The client's specific instructions should be sought to produce a sufficiently clear and comprehensive definition of the nature of its business.</paratext>
                    </para>
                  </division>
                </drafting.note>
              </defn.item>
              <defn.item id="a404603">
                <defn.term>Business Opportunities</defn.term>
                <defn>
                  <para>
                    <paratext>any opportunities which the Consultant becomes aware of during the Engagement which relate to the Business of the Client [or any Group Company] or which the Board reasonably considers might be of benefit to the Client [or any Group Company].</paratext>
                  </para>
                </defn>
              </defn.item>
              <defn.item id="a495482">
                <defn.term>Business Day</defn.term>
                <defn>
                  <para>
                    <paratext>a day, other than a Saturday, Sunday or public holiday in England, when banks in London are open for business.</paratext>
                  </para>
                </defn>
              </defn.item>
              <defn.item id="a362606">
                <defn.term>Capacity</defn.term>
                <defn>
                  <para>
                    <paratext>as agent, consultant, director, employee, owner, partner, shareholder or in any other capacity.</paratext>
                  </para>
                </defn>
              </defn.item>
              <defn.item id="a362180">
                <defn.term>Client Property</defn.term>
                <defn>
                  <para>
                    <paratext>all documents, books, manuals, materials, records, correspondence, papers and information (on whatever media and wherever located) relating to the Business or affairs of the Client [or Group Company] or its [or their] customers and business contacts, and any equipment, keys, hardware or software provided for the Consultant's use by the Client during the Engagement, and any data or documents (including copies) produced, maintained or stored by the Consultant on the Client's or the Consultant's computer systems or other electronic equipment during the Engagement.</paratext>
                  </para>
                </defn>
                <drafting.note id="a123463" jurisdiction="">
                  <head align="left" preservecase="true">
                    <headtext>Client Property</headtext>
                  </head>
                  <division id="a000009" level="1">
                    <para>
                      <paratext>The client's confirmation that the definition covers all property and equipment provided to the consultant should be sought.</paratext>
                    </para>
                  </division>
                </drafting.note>
              </defn.item>
              <defn.item condition="optional" id="a364540">
                <defn.term>Confidential Information</defn.term>
                <defn>
                  <para>
                    <paratext>
                      information in whatever form (including in written, oral, visual or electronic form or on any magnetic or optical disk or memory) and wherever located relating to [the Client's 
                      <bold>OR</bold>
                       any Group Company's] business, clients, customers, suppliers, products, assets, affairs and finances that is confidential to [the Client 
                      <bold>OR </bold>
                      any Group Company] and trade secrets relating to [the Client's 
                      <bold>OR</bold>
                       any Group Company's] business or any of its suppliers, clients, customers, agents, distributors, shareholders, management or business contacts, including technical data and know-how [ADD SPECIFIC EXAMPLES AS NECESSARY], [that the Consultant creates, develops, receives or obtains in connection with the Engagement], whether or not such information (if in anything other than oral form) is marked confidential.
                    </paratext>
                  </para>
                </defn>
                <drafting.note id="a871156" jurisdiction="">
                  <head align="left" preservecase="true">
                    <headtext>Confidential Information (optional definition)</headtext>
                  </head>
                  <division id="a000010" level="1">
                    <para>
                      <paratext>The client's specific instructions should be sought regarding the nature of its business and the type of information that it considers as confidential. The definition should then be amended as appropriate.</paratext>
                    </para>
                    <para>
                      <paratext>
                        Case law suggests that a definition of "confidential information" containing the words "including but not limited to" will be too wide to be enforceable (see 
                        <link href="D-109-3697" style="ACTLinkPLCtoPLC">
                          <ital>Derma Med Ltd v Ally [2024] EWCA Civ 175</ital>
                        </link>
                        ). Our definition does not include this wording. Consequently, any lists it includes may be interpreted as exhaustive. The client must therefore ensure that the lists explicitly include the information it considers to be critical for its business. It could, for example, expand the list to expressly refer to information relating to business contacts made by the consultant during the engagement (that are not already a client, customer or supplier of the client (which could include potential customers, clients or suppliers)) if it is concerned about the consultant exploiting these relationships in any way. However, when expanding the definition, the client must remain wary of jeopardising enforceability by drafting too widely.
                      </paratext>
                    </para>
                    <para>
                      <paratext>
                        For further information about this definition, including the importance of tailoring it, see 
                        <link anchor="a82779" href="9-200-2130" style="ACTLinkPLCtoPLC">
                          <ital>Standard clause, Confidentiality clause (long-form): Drafting note: Definition of Confidential Information</ital>
                        </link>
                        .
                      </paratext>
                    </para>
                  </division>
                </drafting.note>
              </defn.item>
              <defn.item condition="optional" id="a256239">
                <defn.term>Copies</defn.term>
                <defn>
                  <para>
                    <paratext>copies or records of any Confidential Information in whatever form (including in written, oral, visual or electronic form or on any magnetic or optical disk or memory) and wherever located, and extracts, analysis, studies, plans, compilations or any other way of representing or recording and recalling information which contains, reflects or is derived or generated from Confidential Information.</paratext>
                  </para>
                </defn>
                <drafting.note id="a776117" jurisdiction="">
                  <head align="left" preservecase="true">
                    <headtext>Copies (optional definition)</headtext>
                  </head>
                  <division id="a000011" level="1">
                    <para>
                      <paratext>
                        This definition includes a list of different formats in which information can be stored or presented. The list may be interpreted by the courts as exhaustive, so the client should check that it explicitly includes the formats which are relevant to their business. Amending the clause to suggest that the list is non-exhaustive (for example, using wording such as "including but not limited to") may jeopardise the enforceability of the confidentiality provision (see 
                        <internal.reference refid="a871156">
                          <ital>Drafting note, Confidential Information (optional definition)</ital>
                        </internal.reference>
                        ).
                      </paratext>
                    </para>
                  </division>
                </drafting.note>
              </defn.item>
              <defn.item id="a542514">
                <defn.term>Deliverable</defn.term>
                <defn>
                  <para>
                    <paratext>
                      any outputs of the Services and any other documents or materials provided by the Consultant to the Client as specified in 
                      <internal.reference refid="a551048">
                        <ital>Schedule 1</ital>
                      </internal.reference>
                       or in relation to the Services (excluding the Consultant's equipment).]
                    </paratext>
                  </para>
                </defn>
                <drafting.note id="a104790" jurisdiction="">
                  <head align="left" preservecase="true">
                    <headtext>Deliverable (optional definition)</headtext>
                  </head>
                  <division id="a000012" level="1">
                    <para>
                      <paratext>
                        This definition should be included if a deliverables-based approach will be taken (see 
                        <internal.reference refid="a84783">
                          <ital>Drafting note, General duties</ital>
                        </internal.reference>
                        ).
                      </paratext>
                    </para>
                  </division>
                </drafting.note>
              </defn.item>
              <defn.item id="a194152">
                <defn.term>Data Protection Legislation</defn.term>
                <defn>
                  <para>
                    <paratext>all applicable data protection and privacy legislation in force from time to time in the UK including the retained EU law version of the General Data Protection Regulation ((EU) 2016/679) (UK GDPR), the Data Protection Act 2018 (and regulations made thereunder) or any successor legislation, and all other legislation and regulatory requirements in force from time to time which apply to a party relating to the use of personal data (including, without limitation, the privacy of electronic communications).</paratext>
                  </para>
                </defn>
                <drafting.note id="a179949" jurisdiction="">
                  <head align="left" preservecase="true">
                    <headtext>Data Protection Legislation</headtext>
                  </head>
                  <division id="a000013" level="1">
                    <para>
                      <paratext>
                        This consultancy agreement has been drafted on the basis that the consultant will be subject to the UK data protection regime only (see 
                        <internal.reference refid="a832277">
                          <ital>Drafting note, Data protection</ital>
                        </internal.reference>
                         for more information on the position in the UK at the end of the UK-EU transition period). However, the EU GDPR will continue to have extra-territorial effect, meaning that it may continue to apply to UK suppliers who act as 
                        <link href="https://uk.practicallaw.thomsonreuters.com/5-107-5723?originationContext=document&amp;amp;transitionType=DocumentItem&amp;amp;contextData=(sc.Default)" style="ACTLinkURL">
                          <ital>controllers</ital>
                        </link>
                         or 
                        <link href="https://uk.practicallaw.thomsonreuters.com/2-384-8947?originationContext=document&amp;amp;transitionType=DocumentItem&amp;amp;contextData=(sc.Default)" style="ACTLinkURL">
                          <ital>processors</ital>
                        </link>
                         and have an establishment in the EU, or who offer goods or services to data subjects in the EU. Some suppliers of consultancy services may, therefore, find themselves subject to parallel data protection regimes under the UK GDPR and the EU GDPR (see 
                        <link href="w-026-2740" style="ACTLinkPLCtoPLC">
                          <ital>Practice note, Brexit post-transition period: data protection (UK): Determining which regimes apply</ital>
                        </link>
                        ). If this is the case, the definition of Data Protection Legislation should be expanded to expressly refer to the EU GDPR and any other European Union legislation relating to personal data.
                      </paratext>
                    </para>
                  </division>
                </drafting.note>
              </defn.item>
              <defn.item id="a964328">
                <defn.term>Engagement</defn.term>
                <defn>
                  <para>
                    <paratext>the engagement of the Consultant by the Client on the terms of this agreement.</paratext>
                  </para>
                </defn>
              </defn.item>
              <defn.item condition="optional" id="a892382">
                <defn.term>Group Company</defn.term>
                <defn>
                  <para>
                    <paratext>the Client, its subsidiaries or holding companies from time to time and any subsidiary of any holding company from time to time.</paratext>
                  </para>
                </defn>
                <drafting.note id="a721617" jurisdiction="">
                  <head align="left" preservecase="true">
                    <headtext>Group Company, subsidiary and holding company (optional definitions)</headtext>
                  </head>
                  <division id="a000014" level="1">
                    <para>
                      <paratext>
                        These definitions are relevant if the client is part of a corporate group, as the consultant may have duties in connection with other companies within the group. The definition of Group Company and subsidiary should be amended to ensure that they reflect the nature of the client's group. If the client is not part of a corporate group, the definitions are not strictly necessary. However, it is usually a good idea to include them if it is possible that the situation could change in the future. The optional wording in brackets has been introduced to take account of the effect of the decision in the 
                        <ital>Enviroco</ital>
                         case (see 
                        <link href="5-505-6169" style="ACTLinkPLCtoPLC">
                          <ital>Legal update, Interpretation of contract: definition of subsidiary (Supreme Court)</ital>
                        </link>
                        ).
                      </paratext>
                    </para>
                  </division>
                </drafting.note>
              </defn.item>
              <defn.item condition="optional" id="a783284">
                <defn.term>HMRC</defn.term>
                <defn>
                  <para>
                    <paratext>HM Revenue &amp; Customs.</paratext>
                  </para>
                </defn>
              </defn.item>
              <defn.item condition="optional" id="a453644">
                <defn.term>holding company</defn.term>
                <defn>
                  <para>
                    <paratext>
                      has the meaning given in 
                      <internal.reference refid="a180657">
                        <ital>clause 1.7</ital>
                      </internal.reference>
                      <ital>.</ital>
                    </paratext>
                  </para>
                </defn>
              </defn.item>
              <defn.item id="a793398">
                <defn.term>Insurance Policies</defn.term>
                <defn>
                  <para>
                    <paratext>[commercial general liability insurance cover,] [professional indemnity insurance cover,] [cyber insurance cover,][employer's liability insurance cover] [and public liability insurance cover].</paratext>
                  </para>
                </defn>
                <drafting.note id="a131554" jurisdiction="">
                  <head align="left" preservecase="true">
                    <headtext>Insurance Policies</headtext>
                  </head>
                  <division id="a000015" level="1">
                    <para>
                      <paratext>Employer's liability insurance will only be relevant if the consultant employs any staff to help them in the performance of the services under the agreement. If it is required, the insurance cover set must be at least in accordance with the statutory minimum (which is currently £5 million). Public liability insurance protects the insured against claims brought by members of the public. Professional indemnity insurance may be desirable or required if the consultant is a member of certain professions. For example, the regulatory bodies of accountants, solicitors, insurance brokers, financial advisers and architects all require their members to take out appropriate professional indemnity insurance.</paratext>
                    </para>
                    <para>
                      <paratext>If the consultant is a processor under the UK GDPR, a cyber insurance policy can insure against the costs associated with a data breach, but it may not insure against any fines imposed by the ICO as a result of a breach of the UK GDPR.  Clients and consultants should both satisfy themselves that an insurance policy with the appropriate level of cover is in place.</paratext>
                    </para>
                    <para>
                      <paratext>
                        For more information, see 
                        <link anchor="a207345" href="7-520-0316" style="ACTLinkPLCtoPLC">
                          <ital>Practice note, Consultants: Insurance</ital>
                        </link>
                        .
                      </paratext>
                    </para>
                  </division>
                </drafting.note>
              </defn.item>
              <defn.item id="a655886">
                <defn.term>Intellectual Property Rights</defn.term>
                <defn>
                  <para>
                    <paratext>patents, [utility models,] rights to Inventions, copyright and [neighbouring and] related rights, [moral rights,] trademarks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paratext>
                  </para>
                </defn>
                <drafting.note id="a803023" jurisdiction="">
                  <head align="left" preservecase="true">
                    <headtext>Intellectual Property Rights</headtext>
                  </head>
                  <division id="a000016" level="1">
                    <para>
                      <paratext>This standard definition of intellectual property (IP) rights has been drafted as widely as possible to cover all rights potentially subsisting in the relevant work. The definition is based on UK law, but includes optional references in square brackets to the main types of rights which subsist outside the UK. You should consider whether to include all or any of them in your definition if the consultant is likely to be working outside the UK.</paratext>
                    </para>
                  </division>
                </drafting.note>
              </defn.item>
              <defn.item id="a474918">
                <defn.term>Invention</defn.term>
                <defn>
                  <para>
                    <paratext>any invention, idea, discovery, development, improvement or innovation made by the Consultant in the provision of the Services, whether or not patentable or capable of registration, and whether or not recorded in any medium.</paratext>
                  </para>
                </defn>
              </defn.item>
              <defn.item id="a692702">
                <defn.term>Services</defn.term>
                <defn>
                  <para>
                    <paratext>
                      the services provided by the Consultant in a consultancy capacity for the Client [or any Group Company] as more particularly described in 
                      <internal.reference refid="a551048">
                        <ital>Schedule 1</ital>
                      </internal.reference>
                      .
                    </paratext>
                  </para>
                </defn>
              </defn.item>
              <defn.item condition="optional" id="a866802">
                <defn.term>subsidiary</defn.term>
                <defn>
                  <para>
                    <paratext>
                      has the meaning given in 
                      <internal.reference refid="a180657">
                        <ital>clause 1.7</ital>
                      </internal.reference>
                      .
                    </paratext>
                  </para>
                </defn>
              </defn.item>
              <defn.item condition="optional" id="a372895">
                <defn.term>Substitute</defn.term>
                <defn>
                  <para>
                    <paratext>
                      a substitute engaged by the Consultant under the terms of 
                      <internal.reference refid="a506867">
                        <ital>clause 3.3</ital>
                      </internal.reference>
                      .
                    </paratext>
                  </para>
                </defn>
              </defn.item>
              <defn.item id="a698965">
                <defn.term>Start Date</defn.term>
                <defn>
                  <para>
                    <paratext>[DATE OF START OF ENGAGEMENT].</paratext>
                  </para>
                </defn>
              </defn.item>
              <defn.item id="a638507">
                <defn.term>Termination Date</defn.term>
                <defn>
                  <para>
                    <paratext>the date of termination of this agreement, howsoever arising.</paratext>
                  </para>
                </defn>
              </defn.item>
              <defn.item id="a637270">
                <defn.term>Works</defn.term>
                <defn>
                  <para>
                    <paratext>all records, reports, documents, papers, drawings, designs, transparencies, photos, graphics, logos, typographical arrangements, software, and all other materials in whatever form, including but not limited to hard copy and electronic form, prepared by the Consultant in the provision of the Services.</paratext>
                  </para>
                </defn>
              </defn.item>
            </subclause1>
            <subclause1 id="a192801">
              <identifier>1.2</identifier>
              <para>
                <paratext>
                  A reference to 
                  <bold>writing</bold>
                   or 
                  <bold>written</bold>
                   excludes fax [and email 
                  <bold>OR</bold>
                   but not email].
                </paratext>
              </para>
            </subclause1>
            <subclause1 id="a476236">
              <identifier>1.3</identifier>
              <para>
                <paratext>The headings in this agreement are inserted for convenience only and shall not affect its construction.</paratext>
              </para>
            </subclause1>
            <subclause1 id="a690778">
              <identifier>1.4</identifier>
              <para>
                <paratext>A reference to a particular law is a reference to it as it is in force for the time being taking account of any amendment, extension, or re-enactment and includes any subordinate legislation for the time being in force made under it.</paratext>
              </para>
            </subclause1>
            <subclause1 id="a923693">
              <identifier>1.5</identifier>
              <para>
                <paratext>Unless the context otherwise requires, words in the singular shall include the plural and in the plural shall include the singular.</paratext>
              </para>
            </subclause1>
            <subclause1 id="a413064">
              <identifier>1.6</identifier>
              <para>
                <paratext>The Schedules form part of this agreement and shall have effect as if set out in full in the body of this agreement. Any reference to this agreement includes the Schedules.</paratext>
              </para>
            </subclause1>
            <subclause1 condition="optional" id="a180657">
              <identifier>1.7</identifier>
              <para>
                <paratext>
                  A reference to a 
                  <bold>holding company</bold>
                   or a 
                  <bold>subsidiary</bold>
                   means a holding company or a subsidiary (as the case may be) as defined in section 1159 of the Companies Act 2006 [and a company shall be treated, for the purposes only of the membership requirement contained in sections 1159(1)(b) and (c), as a member of another company even if its shares in that other company are registered in the name of (a) another person (or its nominee), whether by way of security or in connection with the taking of security, or (b) as a nominee].
                </paratext>
              </para>
            </subclause1>
          </clause>
          <clause id="a295569">
            <identifier>2.</identifier>
            <head align="left" preservecase="true">
              <headtext>Term of engagement</headtext>
            </head>
            <drafting.note id="a785705" jurisdiction="">
              <head align="left" preservecase="true">
                <headtext>Term of engagement</headtext>
              </head>
              <division id="a000017" level="1">
                <para>
                  <paratext>If this standard document is to be signed after the consultant has started work, this clause should specify that the agreement is deemed to have started on the date that the consultant actually started providing the services.</paratext>
                </para>
                <para>
                  <paratext>
                    The standard document provides for an indefinite term. Either party can terminate the agreement by giving the same period of notice to the other. See 
                    <internal.reference refid="a551843">
                      <ital>Drafting note, Commercial Agents Regulations</ital>
                    </internal.reference>
                     with regard to minimum notice periods that will be required if the consultant is a commercial agent.
                  </paratext>
                </para>
                <para>
                  <paratext>
                    It is stated that notice must be given in writing. Therefore the client should be advised that, if this provision is included, oral notice will not be effective (see 
                    <internal.reference refid="a449153">
                      <ital>clause 2.2(b)</ital>
                    </internal.reference>
                    ).
                  </paratext>
                </para>
                <para>
                  <paratext>It is not advisable to include either:</paratext>
                </para>
                <list type="bulleted">
                  <list.item>
                    <para>
                      <paratext>
                        A 
                        <link href="2-200-3406" style="ACTLinkPLCtoPLC">
                          <ital>pay in lieu of notice</ital>
                        </link>
                         (PILON) clause (giving the client the option to terminate the engagement with immediate effect by making a payment in lieu of notice).
                      </paratext>
                    </para>
                  </list.item>
                  <list.item>
                    <para>
                      <paratext>
                        A 
                        <link href="1-200-3242" style="ACTLinkPLCtoPLC">
                          <ital>garden leave</ital>
                        </link>
                         clause (giving the client, for example, the right to exclude the consultant from the premises during the notice period, while still paying them during this period).
                      </paratext>
                    </para>
                  </list.item>
                </list>
                <para>
                  <paratext>These provisions are inconsistent with the nature of a self-employed relationship where pay is normally only received in exchange for services provided. For this reason, the client is likely to require a relatively short notice period.</paratext>
                </para>
                <para>
                  <paratext>
                    In 
                    <link href="D-000-5302" style="ACTLinkURL">
                      <ital>Island Consultants Ltd v Revenue &amp; Customs Commissioners [2007] SpC 618</ital>
                    </link>
                    , a right to four weeks' notice was considered to be more consistent with employment as "self-employment normally ends when the work is completed".
                  </paratext>
                </para>
              </division>
            </drafting.note>
            <subclause1 id="a648053">
              <identifier>2.1</identifier>
              <para>
                <paratext>The Client shall engage the Consultant and the Consultant shall provide the Services on the terms of this agreement.</paratext>
              </para>
            </subclause1>
            <subclause1 id="a590601">
              <identifier>2.2</identifier>
              <para>
                <paratext>
                  The Engagement shall [start 
                  <bold>OR</bold>
                   be deemed to have started] on the Start Date and shall continue unless and until terminated:
                </paratext>
              </para>
              <subclause2 id="a1028535">
                <identifier>(a)</identifier>
                <para>
                  <paratext>as provided by the terms of this agreement; or</paratext>
                </para>
              </subclause2>
              <subclause2 id="a449153">
                <identifier>(b)</identifier>
                <para>
                  <paratext>by either party giving to the other not less than [NUMBER] weeks' prior written notice.</paratext>
                </para>
              </subclause2>
            </subclause1>
          </clause>
          <clause id="a921722">
            <identifier>3.</identifier>
            <head align="left" preservecase="true">
              <headtext>Duties and obligations</headtext>
            </head>
            <drafting.note id="a362497" jurisdiction="">
              <head align="left" preservecase="true">
                <headtext>Duties and obligations</headtext>
              </head>
              <division id="a000018" level="1">
                <para>
                  <paratext>
                    Generally, 
                    <internal.reference refid="a921722">
                      <ital>clause 3</ital>
                    </internal.reference>
                     and 
                    <internal.reference refid="a551048">
                      <ital>Schedule 1</ital>
                    </internal.reference>
                     (which describes the consultant's services) should contain provisions which indicate that the individual is in business on their own account (although these provisions will not be conclusive). For example:
                  </paratext>
                </para>
                <list type="bulleted">
                  <list.item>
                    <para>
                      <paratext>The consultant exercises control over the timing and method of work.</paratext>
                    </para>
                  </list.item>
                  <list.item>
                    <para>
                      <paratext>The consultant provides their own facilities or equipment to perform the work.</paratext>
                    </para>
                  </list.item>
                  <list.item>
                    <para>
                      <paratext>The consultant acts as principal to hire others to help with the work.</paratext>
                    </para>
                  </list.item>
                  <list.item>
                    <para>
                      <paratext>The consultant undertakes a degree of financial risk or accepts responsibility for supervision of the work.</paratext>
                    </para>
                  </list.item>
                </list>
                <para>
                  <paratext>
                    For more information, see 
                    <link anchor="a416107" href="7-520-0316" style="ACTLinkPLCtoPLC">
                      <ital>Practice note, Consultants: Consultant's duties</ital>
                    </link>
                    .
                  </paratext>
                </para>
              </division>
            </drafting.note>
            <subclause1 id="a598953">
              <identifier>3.1</identifier>
              <para>
                <paratext>During the Engagement the Consultant shall:</paratext>
              </para>
              <subclause2 id="a524184">
                <identifier>(a)</identifier>
                <para>
                  <paratext>provide the Services [,including the Deliverables,] with all due care, skill and ability and use their best endeavours to promote the interests of the Client [or any Group Company];</paratext>
                </para>
              </subclause2>
              <subclause2 condition="optional" id="a748492">
                <identifier>(b)</identifier>
                <para>
                  <paratext>
                    unless prevented by ill health or accident, devote at least [NUMBER] [hours 
                    <bold>OR </bold>
                    days] in each calendar month to the carrying out of the Services together with such additional time, if any, as may be necessary for their proper performance
                    <bold> OR </bold>
                    ensure that the Deliverables conform in all respects with, and are achieved by any deadlines specified in, 
                    <internal.reference refid="a551048">
                      <ital>Schedule 1</ital>
                    </internal.reference>
                     and that the Deliverables shall be fit for any purpose expressly or implicitly made known to the Consultant by the Client]; and
                  </paratext>
                </para>
              </subclause2>
              <subclause2 id="a809989">
                <identifier>(c)</identifier>
                <para>
                  <paratext>promptly give to the Board all such information and reports as it may reasonably require in connection with matters relating to the provision of the Services [,including the Deliverables,] or the Business of the Client [or any Group Company].</paratext>
                </para>
                <drafting.note id="a84783" jurisdiction="">
                  <head align="left" preservecase="true">
                    <headtext>General duties</headtext>
                  </head>
                  <division id="a000019" level="1">
                    <para>
                      <paratext>This clause includes optional wording requiring the client to specify the minimum number of days or hours a month the consultant is required to provide their services.</paratext>
                    </para>
                    <para>
                      <paratext>
                        In practice, to reduce the risk of the consultant being deemed to be an employee for employment law or tax purposes, the client should consider adopting a deliverables-based approach instead. This would involve the client specifying genuine deliverables, setting clear milestones and providing for staged payments linked to achievement of the deliverables. 
                        <internal.reference refid="a551048">
                          <ital>Schedule 1</ital>
                        </internal.reference>
                         could be used to set out the deliverables and related milestones.
                      </paratext>
                    </para>
                    <para>
                      <paratext>Clients should, however, keep in mind that simply adopting a deliverables-based approach will not in itself mean that a consultant is self-employed for employment law or tax purposes. However, the reason for adopting a deliverables-based approach is that it means that fees are not payable based on time spent but instead on the achievement of specific deliverables. This more commercial approach can be contrasted to an employment relationship, where an employee is typically paid a basic salary by reference to the number of days they work.</paratext>
                    </para>
                    <para>
                      <paratext>
                        If a deliverables-based approach is taken, the wording about devoting a minimum number of hours or days to the carrying out of the services should be removed from 
                        <internal.reference refid="a748492">
                          <ital>clause 3.1(b)</ital>
                        </internal.reference>
                        , and the alternative wording regarding the achievement of deliverables inserted. The optional references to deliverables in 
                        <internal.reference refid="a524184">
                          <ital>clause 3.1(a)</ital>
                        </internal.reference>
                         and 
                        <internal.reference refid="a809989">
                          <ital>clause 3.1(c)</ital>
                        </internal.reference>
                         should also be inserted.
                      </paratext>
                    </para>
                    <para>
                      <paratext>
                        Note that the adoption of a deliverables-based approach is not necessarily an easy solution. A scoping exercise will need to be completed, and clear deliverables and milestones identified (as mentioned above). In addition, the client will need to consider any applicable acceptance criteria. For further discussion on acceptance criteria in a commercial context, see 
                        <link anchor="a753641" href="3-623-0753" style="ACTLinkPLCtoPLC">
                          <ital>Standard document, Services agreement (pro-customer): Drafting note: Milestones and acceptance</ital>
                        </link>
                        .
                      </paratext>
                    </para>
                    <para>
                      <paratext>The agreement does not include any reference to holiday or annual leave provision as this would be an indicator of worker or employee status.</paratext>
                    </para>
                  </division>
                </drafting.note>
              </subclause2>
            </subclause1>
            <subclause1 id="a94340">
              <identifier>3.2</identifier>
              <para>
                <paratext>
                  [If the Consultant is unable to provide the Services due to illness or injury, they shall advise the Client of that fact as soon as reasonably practicable.] For the avoidance of doubt, no fee shall be payable in accordance with 
                  <internal.reference refid="a839540">
                    <ital>clause 4</ital>
                  </internal.reference>
                   in respect of any period during which the Services are not provided.
                </paratext>
              </para>
              <drafting.note id="a319772" jurisdiction="">
                <head align="left" preservecase="true">
                  <headtext>Absence due to illness</headtext>
                </head>
                <division id="a000020" level="1">
                  <para>
                    <paratext>
                      This clause requires the consultant to notify the client if the consultant cannot carry out the services due to illness. The consultant will not be paid for any period during which the services are not carried out. The client should consider removing the wording in square brackets if the consultant will have an unfettered right to appoint a substitute (see 
                      <internal.reference refid="a245437">
                        <ital>Drafting note, Appointment of substitute (optional clause)</ital>
                      </internal.reference>
                      ).
                    </paratext>
                  </para>
                </division>
              </drafting.note>
            </subclause1>
            <subclause1 condition="optional" id="a506867">
              <identifier>3.3</identifier>
              <para>
                <paratext>
                  The Consultant may, [with the prior written approval of the [Client 
                  <bold>OR</bold>
                   Board] and] subject to the following proviso, appoint a suitably qualified and skilled Substitute to perform the Services on their behalf, provided that the Substitute shall be required to enter into direct undertakings with the Client, including with regard to confidentiality. [If the Client accepts the Substitute,] [The 
                  <bold>OR</bold>
                   the] Consultant shall continue to invoice the Client in accordance with 
                  <internal.reference refid="a839540">
                    <ital>clause 4</ital>
                  </internal.reference>
                   and shall be responsible for the remuneration of the Substitute. For the avoidance of doubt, the Consultant will continue to be subject to all duties and obligations under this agreement for the duration of the appointment of the Substitute.
                </paratext>
              </para>
              <drafting.note id="a245437" jurisdiction="">
                <head align="left" preservecase="true">
                  <headtext>Appointment of substitute (optional clause)</headtext>
                </head>
                <division id="a000021" level="1">
                  <para>
                    <paratext>This clause allows the consultant to provide, at their own expense, a substitute to carry out the services in their place. The clause is drafted so that the substitute may be appointed at any time and not only where the consultant is unable to perform the services. Since this agreement is drafted from the perspective of the client and the consultant will remain liable under the agreement for the provision of the services, the consultant should consider how the relationship between themselves and the substitute is documented.</paratext>
                  </para>
                  <para>
                    <paratext>
                      The case law suggests that a limited power to appoint a substitute, for example only when a consultant is unavailable, would not necessarily lead to the conclusion that a consultant is self-employed for employment law or tax purposes. However, an unqualified right to use a substitute at the expense of the consultant may indicate self-employed status (see 
                      <link anchor="a205429" href="w-007-2099" style="ACTLinkPLCtoPLC">
                        <ital>Practice note, Employment status (2): how to identify an employment contract: "Irreducible minimum": Personal service and substitution rights</ital>
                      </link>
                       and 
                      <link href="1-380-1950" style="ACTLinkPLCtoPLC">
                        <ital>Legal update, Four cases illustrate the Special Commissioners' approach to the IR35 legislation and IT consultants</ital>
                      </link>
                      ).
                    </paratext>
                  </para>
                  <division id="a000022" level="2">
                    <division id="a214596" level="3">
                      <head align="left" preservecase="true">
                        <headtext>Court of Appeal consideration</headtext>
                      </head>
                      <para>
                        <paratext>
                          The ways in which a right of substitution may be fettered or qualified, for employment law purposes, was examined by the Court of Appeal in detail in 
                          <ital>Pimlico Plumbers Ltd and Mullins v Smith [2017] EWCA Civ 51 (</ital>
                          see 
                          <link href="w-006-3303" style="ACTLinkPLCtoPLC">
                            <ital>Legal update: Plumber was a worker, not a self-employed contractor (Court of Appeal)</ital>
                          </link>
                          ). In particular, the Court of Appeal noted that a right to substitute only with the consent of another person who has an absolute and unqualified discretion to withhold consent will be consistent with personal performance (and, therefore, not with self-employment). Accordingly, in 
                          <internal.reference refid="a506867">
                            <ital>clause 3.3</ital>
                          </internal.reference>
                          , a client may want to remove the optional wording in square brackets about it needing to approve any substitute. Alternatively, if it wants to retain the right to approve any substitute, it may prefer to add wording to the effect that its approval will not be unreasonably withheld or delayed (although it is unclear whether or not this approach would be sufficient to convince a court that any discretion was not absolute and unqualified). The client may, therefore, also want to specify that its approval is needed simply to ensure that the substitute has, for example, the appropriate qualifications.
                        </paratext>
                      </para>
                      <para>
                        <paratext>
                          Note that Sir Terence Etherton MR's approach to the right of substitution in 
                          <ital>Pimlico Plumbers</ital>
                           was considered by the Court of Appeal in 
                          <link href="https://uk.practicallaw.thomsonreuters.com/D-106-3675?originationContext=document&amp;amp;transitionType=PLDocumentLink&amp;amp;contextData=(sc.Default)&amp;amp;ppcid=5fe0b26950994c1189c5a72a5af268bf&amp;amp;comp=pluk" style="ACTLinkURL">
                            <ital>Stuart Delivery Ltd v Augustine [2021] EWCA Civ 1514</ital>
                          </link>
                          . In its view, Sir Terence Etherton MR had sought to summarise the principles to be drawn from existing case law. He had not sought to establish a rigid system of classification or lay down strict rules as to what would amount to personal performance, or when a right of substitution would negate the existence of an obligation to do work personally (see 
                          <link anchor="a477377" href="w-033-0669" style="ACTLinkPLCtoPLC">
                            <ital>Legal update, Moped courier with limited right of substitution was a worker (Court of Appeal): Correct approach in assessing rights of substitution</ital>
                          </link>
                          ). At paragraph 55 of the judgment, Lewis LJ comments that "It is more appropriate to focus on the real issue, that is whether the nature and degree of any fetter on the right or ability to appoint a substitute to determine whether that was inconsistent with any obligation of personal performance".
                        </paratext>
                      </para>
                      <para>
                        <paratext>
                          To support an argument that the engagement is not deemed employment for tax purposes, an unfettered right of substitution (with no approval required by the client) is likely to be most compelling. In reality, however, such an absolute right of substitution may not be acceptable to the client (see 
                          <internal.reference refid="a415918">
                            <ital>Drafting note, Why have a substitution clause?</ital>
                          </internal.reference>
                          ). In addition, it may be difficult to assess whether a right of substitution is fettered or not. The extent to which a substitition clause has been exercised in similar circumstances may be one relevant factor, even if the particular consultant has not exercised the right to appoint a substitute. If a substitution clause has been subject to genuine negotiation between the parties, this is also likely to be helpful.
                        </paratext>
                      </para>
                      <para>
                        <paratext>
                          When assessing the effect of the right to use a substitute, the nature of the duties that can be delegated will be relevant. If the duties that can be delegated are the dominant purpose of the agreement, the consultant is unlikely to be found to be an employee. For further information, see 
                          <link anchor="a205429" href="w-007-2099" style="ACTLinkPLCtoPLC">
                            <ital>Practice note, Employment status (2): how to identify an employment contract: "Irreducible minimum": Personal service and substitution rights</ital>
                          </link>
                          .
                        </paratext>
                      </para>
                    </division>
                    <division id="a594995" level="3">
                      <head align="left" preservecase="true">
                        <headtext>Is the substitution clause a sham?</headtext>
                      </head>
                      <para>
                        <paratext>
                          The courts or tribunal may also consider whether the substitution clause is, in fact, a sham. This has been found to be the case in a situation where the contractual provision does not reflect the reality of the understanding between the parties (see 
                          <link anchor="a687653" href="w-007-2099" style="ACTLinkPLCtoPLC">
                            <ital>Practice note, Employment status (2): how to identify an employment contract: Determining the true terms</ital>
                          </link>
                          ).
                        </paratext>
                      </para>
                    </division>
                    <division id="a415918" level="3">
                      <head align="left" preservecase="true">
                        <headtext>Why have a substitution clause?</headtext>
                      </head>
                      <para>
                        <paratext>Although a substitution clause may be a useful indicator of self-employed status for employment law and tax purposes (especially where the right is not fettered or qualified), commercial considerations must not be overlooked. It may not be commercially attractive for the client for the services to be carried out by a substitute for an unlimited period where the services in question require the personal skills of the consultant.</paratext>
                      </para>
                      <para>
                        <paratext>
                          If a substitute is used, the client may want the substitute to enter into an agreement whereby it gives direct undertakings to the client (for example, relating to confidentiality and intellectual property) (see 
                          <internal.reference refid="a378057">
                            <ital>Drafting note, Confidential information (optional clause)</ital>
                          </internal.reference>
                           and 
                          <internal.reference refid="a355518">
                            <ital>Drafting note, Intellectual property</ital>
                          </internal.reference>
                          ).
                        </paratext>
                      </para>
                    </division>
                    <division id="a710567" level="3">
                      <head align="left" preservecase="true">
                        <headtext>UK GDPR</headtext>
                      </head>
                      <para>
                        <paratext>
                          If the consultant is a processor for UK GDPR purposes, any appointment of a substitute may be subject to the relevant obligations on appointing a sub-processor (see 
                          <internal.reference refid="a680194">
                            <ital>clause 8</ital>
                          </internal.reference>
                          ). However, it may be worth inserting a reference to these obligations in this clause, if only for signposting purposes.
                        </paratext>
                      </para>
                      <para>
                        <paratext>
                          <link href="https://uk.westlaw.com/Document/ID9E16550149911E9A3ACBD4240CE8204/View/FullText.html" style="ACTLinkURL">
                            <ital>Article 28(2)</ital>
                          </link>
                           of the UK GDPR contains restrictions to prevent processors (such as consultants) from engaging sub-processors (such as substitutes) without the prior specific or general written authorisation of the controller (see 
                          <internal.reference refid="a832277">
                            <ital>Drafting note, Data protection</ital>
                          </internal.reference>
                          ). In this agreement, the controller is the client. If the consultant will not be able to appoint a substitute, or the UK GDPR does not apply because, for example, there is no personal data in scope (meaning that the consultant is not a processor), there will not be an issue. However, if the consultant will be able to appoint a substitute and the UK GDPR applies, to the extent the consultant is a processor, there is a tension between the benefits for employment law and tax purposes of having an unfettered right of substitution with no prior written approval required by the client (see 
                          <internal.reference refid="a214596">
                            <ital>Drafting note, Court of Appeal consideration</ital>
                          </internal.reference>
                          ) and the requirements of Article 28(2) of the UK GDPR. While there is no easy way to resolve this tension, given that Article 28(2) requires prior specific or general written authorisation, we have provided optional wording to meet the requirements of Article 28(2) in 
                          <internal.reference refid="a740323">
                            <ital>clause 8.7</ital>
                          </internal.reference>
                          .
                        </paratext>
                      </para>
                    </division>
                  </division>
                </division>
              </drafting.note>
            </subclause1>
            <subclause1 id="a177122">
              <identifier>3.4</identifier>
              <para>
                <paratext>
                  [If a Substitute is appointed, the provisions relating to sub-processor obligations under 
                  <internal.reference refid="a680194">
                    <ital>clause 8</ital>
                  </internal.reference>
                   will apply.]
                </paratext>
              </para>
            </subclause1>
            <subclause1 id="a791971">
              <identifier>3.5</identifier>
              <para>
                <paratext>The Consultant shall use reasonable endeavours to ensure that they are available at all times on reasonable notice to provide such assistance or information as the Client may require.</paratext>
              </para>
            </subclause1>
            <subclause1 id="a657858">
              <identifier>3.6</identifier>
              <para>
                <paratext>Unless they have been specifically authorised to do so by the Client in writing, the Consultant shall not:</paratext>
              </para>
              <subclause2 id="a648174">
                <identifier>(a)</identifier>
                <para>
                  <paratext>have any authority to incur any expenditure in the name of or for the account of the Client; or</paratext>
                </para>
              </subclause2>
              <subclause2 id="a531392">
                <identifier>(b)</identifier>
                <para>
                  <paratext>hold themselves out as having authority to bind the Client.</paratext>
                </para>
              </subclause2>
            </subclause1>
            <subclause1 id="a320693">
              <identifier>3.7</identifier>
              <para>
                <paratext>The Consultant shall comply with all reasonable standards of safety and comply with the Client's health and safety procedures from time to time in force at the premises where the Services are provided and report to the Client any unsafe working conditions or practices.</paratext>
              </para>
              <drafting.note id="a513143" jurisdiction="">
                <head align="left" preservecase="true">
                  <headtext>Compliance with health and safety standards</headtext>
                </head>
                <division id="a000023" level="1">
                  <para>
                    <paratext>
                      The client should ensure that the consultant complies with its health and safety procedures because of the client's duty (as an employer) to provide a safe system of work for its employees and others affected by its activities. The client could have liability under the 
                      <link href="9-503-9408" style="ACTLinkPLCtoPLC">
                        <ital>Health and Safety at Work etc Act 1974</ital>
                      </link>
                      , a general duty of care and occupier's liability.
                    </paratext>
                  </para>
                  <para>
                    <paratext>
                      For more information, see 
                      <link anchor="a678168" href="7-520-0316" style="ACTLinkPLCtoPLC">
                        <ital>Practice note, Consultants: Health and safety</ital>
                      </link>
                      .
                    </paratext>
                  </para>
                </division>
              </drafting.note>
            </subclause1>
            <subclause1 id="a750833">
              <identifier>3.8</identifier>
              <para>
                <paratext>The Consultant shall comply with the Client's policies on [social media] [use of information and communication systems] [anti-harassment and bullying] [equal opportunities] [no smoking] [substance misuse] [OTHER RELEVANT POLICY].</paratext>
              </para>
              <drafting.note id="a813684" jurisdiction="">
                <head align="left" preservecase="true">
                  <headtext>Compliance with policies</headtext>
                </head>
                <division id="a000024" level="1">
                  <para>
                    <paratext>
                      It is likely that the client will want the consultant to comply with certain policies or procedures, such as its social media or anti-harassment and bullying policies. Any relevant policies or procedures with which the consultant is required to comply should be set out in the agreement (see 
                      <internal.reference refid="a750833">
                        <ital>clause 3.8</ital>
                      </internal.reference>
                      ). As a general rule, however, these policies and procedures should be kept to minimum and not relate to day-to-day management issues such as discipline and performance. The latter type of policy indicates control over the consultant and will point towards employment status.
                    </paratext>
                  </para>
                </division>
              </drafting.note>
            </subclause1>
            <subclause1 id="a340916">
              <identifier>3.9</identifier>
              <para>
                <paratext>The Consultant undertakes to the Client that during the Engagement they shall take all reasonable steps to offer (or cause to be offered) to the Client any Business Opportunities as soon as practicable after the same shall have come to their knowledge and, in any event, before the same shall have been offered by the Consultant (or caused by the Consultant to be offered) to any other party [provided that nothing in this clause shall require the Consultant to disclose any Business Opportunities to the Client if to do so would result in a breach by the Consultant of any obligation of confidentiality or of any fiduciary duty owed by the Consultant to any third party].</paratext>
              </para>
              <drafting.note id="a315704" jurisdiction="">
                <head align="left" preservecase="true">
                  <headtext>Disclosure of business opportunities</headtext>
                </head>
                <division id="a000025" level="1">
                  <para>
                    <paratext>Depending on the nature of the consultancy services, it is feasible that the consultant could become aware of business opportunities that could benefit the client (for example, a consultant who provides real estate investment advice might find out about investment possibilities while providing services for other clients). This clause effectively requires the consultant to offer such business opportunities to the client in the first instance (subject to any restrictions regarding confidentiality).</paratext>
                  </para>
                </division>
              </drafting.note>
            </subclause1>
            <subclause1 id="a356454">
              <identifier>3.10</identifier>
              <para>
                <paratext>The Consultant may use a third party to perform any administrative, clerical or secretarial functions which are reasonably incidental to the provision of the Services provided that:</paratext>
              </para>
              <subclause2 id="a112802">
                <identifier>(a)</identifier>
                <para>
                  <paratext>the Client will not be liable to bear the cost of such functions; and</paratext>
                </para>
              </subclause2>
              <subclause2 id="a887256">
                <identifier>(b)</identifier>
                <para>
                  <paratext>at the Client's request the third party shall be required to enter into direct undertakings with the Client, including with regard to confidentiality.</paratext>
                </para>
                <drafting.note id="a937983" jurisdiction="">
                  <head align="left" preservecase="true">
                    <headtext>Consultant's business support</headtext>
                  </head>
                  <division id="a000026" level="1">
                    <para>
                      <paratext>This clause seeks to avoid any inference that the consultant is integrated into the client's business by providing that the consultant should supply their own administrative staff at their own cost (rather than the client making its facilities available to the consultant free of charge, which would be an indicator of an employment relationship).</paratext>
                    </para>
                    <para>
                      <paratext>The client should consider whether it will require confidentiality undertakings from these staff.</paratext>
                    </para>
                  </division>
                </drafting.note>
              </subclause2>
            </subclause1>
            <subclause1 id="a140853">
              <identifier>3.11</identifier>
              <para>
                <paratext>The Consultant shall:</paratext>
              </para>
              <subclause2 id="a851869">
                <identifier>(a)</identifier>
                <para>
                  <paratext>
                    comply with all applicable laws, regulations[, codes] and sanctions relating to anti-bribery and anti-corruption including but not limited to the Bribery Act 2010 (
                    <defn.term>Relevant Requirements</defn.term>
                    );
                  </paratext>
                </para>
              </subclause2>
              <subclause2 condition="optional" id="a322162">
                <identifier>(b)</identifier>
                <para>
                  <paratext>not engage in any activity, practice or conduct which would constitute an offence under sections 1, 2 or 6 of the Bribery Act 2010 if such activity, practice or conduct had been carried out in the UK;</paratext>
                </para>
              </subclause2>
              <subclause2 id="a613366">
                <identifier>(c)</identifier>
                <para>
                  <paratext>
                    comply with the Client's [ethics and] anti-bribery and anti-corruption policies [(annexed to this agreement at Schedule [NUMBER])] [and] [RELEVANT INDUSTRY CODE OR SECTOR SPECIFIC GUIDANCE ON ANTI-BRIBERY AND ANTI-CORRUPTION] [annexed to this agreement at Schedule [NUMBER]], in each case as may be updated from time to time (
                    <defn.term>Relevant Policies</defn.term>
                    );
                  </paratext>
                </para>
              </subclause2>
              <subclause2 id="a554944">
                <identifier>(d)</identifier>
                <para>
                  <paratext>promptly report to the Client (in writing) any request or demand for any undue financial or other advantage of any kind received by the Consultant in connection with the performance of this agreement;</paratext>
                </para>
              </subclause2>
              <subclause2 id="a107959">
                <identifier>(e)</identifier>
                <para>
                  <paratext>
                    ensure that all persons associated with the Consultant or other persons who are performing services [or providing goods] in connection with this agreement comply with this 
                    <internal.reference refid="a140853">
                      <ital>clause 3.11</ital>
                    </internal.reference>
                    ;
                  </paratext>
                </para>
              </subclause2>
              <subclause2 id="a877257">
                <identifier>(f)</identifier>
                <para>
                  <paratext>if requested, co-operate with and provide reasonable assistance to the Client, at the Client's [reasonable] cost, to enable the Client to investigate, or respond to any requests from a relevant government department or agency to investigate, an alleged offence under the Bribery Act 2010; and</paratext>
                </para>
              </subclause2>
              <subclause2 id="a858078">
                <identifier>(g)</identifier>
                <para>
                  <paratext>
                    within [NUMBER] months of the date of this agreement, and annually thereafter, certify to the Client in writing compliance with this 
                    <internal.reference refid="a140853">
                      <ital>clause 3.11</ital>
                    </internal.reference>
                     by the Consultant and all persons associated with the Consultant or other persons who are performing services [or providing goods] in connection with this agreement. The Consultant shall provide such supporting evidence of compliance as the Client may reasonably request.
                  </paratext>
                </para>
                <drafting.note id="a923118" jurisdiction="">
                  <head align="left" preservecase="true">
                    <headtext>Bribery Act 2010</headtext>
                  </head>
                  <division id="a000027" level="1">
                    <para>
                      <paratext>
                        For further information on the 
                        <link href="1-503-8422" style="ACTLinkPLCtoPLC">
                          <ital>Bribery Act 2010</ital>
                        </link>
                        , see 
                        <link href="5-500-8692" style="ACTLinkPLCtoPLC">
                          <ital>Practice note, Bribery Act 2010</ital>
                        </link>
                         and 
                        <link href="0-504-5164" style="ACTLinkPLCtoPLC">
                          <ital>Standard document, Anti-corruption and bribery policy</ital>
                        </link>
                         (in particular, its accompanying drafting notes), as well as 
                        <link href="9-503-9451" style="ACTLinkPLCtoPLC">
                          <ital>Bribery Act 2010 toolkit</ital>
                        </link>
                        .
                      </paratext>
                    </para>
                    <para>
                      <paratext>
                        <internal.reference refid="a140853">
                          <ital>Clause 3.11</ital>
                        </internal.reference>
                         assumes that the client has anti-bribery and anti-corruption policies, and the consultant will be required to comply with them. The consultant may challenge this if it has its own relevant policies. If the consultant does, and argues that it cannot modify its own policies, be prepared to review the policies to assess whether they are adequate and amend 
                        <internal.reference refid="a613366">
                          <ital>clause 3.11(c)</ital>
                        </internal.reference>
                         accordingly.
                      </paratext>
                    </para>
                  </division>
                </drafting.note>
              </subclause2>
            </subclause1>
            <subclause1 id="a257477">
              <identifier>3.12</identifier>
              <para>
                <paratext>The Consultant shall:</paratext>
              </para>
              <subclause2 id="a424751">
                <identifier>(a)</identifier>
                <para>
                  <paratext>not engage in any activity, practice or conduct which would constitute either:</paratext>
                </para>
                <subclause3 id="a306677">
                  <identifier>(i)</identifier>
                  <para>
                    <paratext>a UK tax evasion facilitation offence under section 45(1) of the Criminal Finances Act 2017; or</paratext>
                  </para>
                </subclause3>
                <subclause3 id="a868135">
                  <identifier>(ii)</identifier>
                  <para>
                    <paratext>a foreign tax evasion facilitation offence under section 46(1) of the Criminal Finances Act 2017;</paratext>
                  </para>
                </subclause3>
              </subclause2>
              <subclause2 id="a605480">
                <identifier>(b)</identifier>
                <para>
                  <paratext>
                    comply with the Client's [anti-facilitation of tax evasion policy 
                    <bold>OR</bold>
                     anti-bribery and anti-corruption policies] [annexed to this agreement at Schedule [NUMBER]] [and] [RELEVANT INDUSTRY CODE OR SECTOR SPECIFIC GUIDANCE ON ANTI-FACILITATION OF TAX EVASION] [annexed to this agreement at Schedule [NUMBER]], [in each case] as may be updated from time to time;
                  </paratext>
                </para>
              </subclause2>
              <subclause2 id="a872249">
                <identifier>(c)</identifier>
                <para>
                  <paratext>promptly report to the Client (in writing) any request or demand from a third party to facilitate the evasion of tax within the meaning of Part 3 of the Criminal Finances Act 2017 or any suspected tax evasion offences or facilitation of tax evasion offences, whether under UK law or under the law of any foreign country, in connection with the performance of this agreement;</paratext>
                </para>
              </subclause2>
              <subclause2 id="a727294">
                <identifier>(d)</identifier>
                <para>
                  <paratext>
                    ensure that all persons associated with the Consultant or other persons who are performing services [or providing goods] in connection with this agreement comply with this 
                    <internal.reference refid="a257477">
                      <ital>clause 3.12</ital>
                    </internal.reference>
                    ;
                  </paratext>
                </para>
              </subclause2>
              <subclause2 id="a329703">
                <identifier>(e)</identifier>
                <para>
                  <paratext>if requested, co-operate with and provide reasonable assistance to the Client, at the Client's [reasonable] cost, to enable the Client to investigate, or respond to any requests from a relevant government department or agency to investigate, an alleged offence under sections 45(1) or 46(1) of the Criminal Finances Act 2017; and</paratext>
                </para>
              </subclause2>
              <subclause2 id="a835869">
                <identifier>(f)</identifier>
                <para>
                  <paratext>
                    within [NUMBER] months of the date of this agreement, and annually thereafter, certify to the Client in writing compliance with this 
                    <internal.reference refid="a257477">
                      <ital>clause 3.12</ital>
                    </internal.reference>
                     by the Consultant and all persons associated with the Consultant or other persons who are performing services [or providing goods] in connection with this agreement. The Consultant shall provide such supporting evidence of compliance as the Client may reasonably request.
                  </paratext>
                </para>
                <drafting.note id="a263945" jurisdiction="">
                  <head align="left" preservecase="true">
                    <headtext>Anti-facilitation of tax evasion</headtext>
                  </head>
                  <division id="a000028" level="1">
                    <para>
                      <paratext>
                        The 
                        <link href="w-008-5510" style="ACTLinkPLCtoPLC">
                          <ital>Criminal Finances Act 2017</ital>
                        </link>
                         (CFA 2017) contains corporate offences if a "relevant body" (that is, a corporate entity or partnership) fails to prevent facilitation of UK tax evasion or overseas tax evasion, where an associated person (such as an employee or other person providing their services) commits a tax evasion facilitation offence. For information on the offences, see 
                        <link href="w-007-8822" style="ACTLinkPLCtoPLC">
                          <ital>Practice note, Tax offences: failure to prevent facilitation of tax evasion</ital>
                        </link>
                        .
                      </paratext>
                    </para>
                    <para>
                      <paratext>These are strict liability offences. However, it is a defence for the relevant body to prove that it had in place such prevention procedures as were reasonable in all the circumstances, or that it was not reasonable in all the circumstances to expect it to have any prevention procedures in place.</paratext>
                    </para>
                    <para>
                      <paratext>
                        Under 
                        <link href="w-008-5571" style="ACTLinkPLCtoPLC">
                          <ital>section 47(1)</ital>
                        </link>
                         of the CFA 2017, the Chancellor of the Exchequer has published guidance about procedures that relevant bodies can put in place to prevent associated persons from committing tax evasion facilitation offences (see 
                        <link href="https://assets.publishing.service.gov.uk/government/uploads/system/uploads/attachment_data/file/672231/Tackling-tax-evasion-corporate-offences.pdf" style="ACTLinkURL">
                          <ital>HMRC: Tackling tax evasion: Government guidance for the corporate offences of failure to prevent the criminal facilitation of tax evasion (September 2017)</ital>
                        </link>
                        ). This states that a reasonable prevention procedure could include having terms in contracts for services requiring those providing services not to engage in the facilitation of tax evasion and to report any concerns immediately (
                        <ital>page 47</ital>
                        ).
                      </paratext>
                    </para>
                    <para>
                      <paratext>
                        This 
                        <internal.reference refid="a257477">
                          <ital>clause 3.12</ital>
                        </internal.reference>
                         will be suitable for businesses who, in accordance with the HMRC guidance, wish to make it a specific contractual requirement that those providing services to them do not engage in facilitating tax evasion. It assumes that the client has a policy addressing the prevention of facilitation of tax evasion and the consultant will be required to comply with it. The consultant may challenge this if it has its own relevant policy. If the consultant does, and argues that it cannot modify its own policy, be prepared to review the policy to assess whether it is adequate and amend 
                        <internal.reference refid="a605480">
                          <ital>clause 3.12(b)</ital>
                        </internal.reference>
                         accordingly.
                      </paratext>
                    </para>
                    <para>
                      <paratext>
                        For a document which could form the basis of an anti-facilitation of tax evasion policy, as part of a company's prevention procedures, see 
                        <link href="https://uk.practicallaw.thomsonreuters.com/w-010-5333" style="ACTLinkURL">
                          <ital>Standard document, Anti-facilitation of tax evasion policy</ital>
                        </link>
                        .
                      </paratext>
                    </para>
                  </division>
                </drafting.note>
              </subclause2>
            </subclause1>
            <subclause1 id="a771311">
              <identifier>3.13</identifier>
              <para>
                <paratext>The Consultant shall:</paratext>
              </para>
              <subclause2 id="a153021">
                <identifier>(a)</identifier>
                <para>
                  <paratext>not engage in any activity, practice or conduct which would constitute fraud, including but not limited to a fraud offence under section 199(6) of the Economic Crime and Corporate Transparency Act 2023;</paratext>
                </para>
              </subclause2>
              <subclause2 id="a640649">
                <identifier>(b)</identifier>
                <para>
                  <paratext>
                    comply with the Client's [ethics, anti-bribery and anti-corruption policies 
                    <bold>OR </bold>
                    anti-fraud policy] [annexed to this agreement at Schedule [NUMBER]] [and] [RELEVANT INDUSTRY CODE OR SECTOR SPECIFIC GUIDANCE ON FRAUD] [annexed to this agreement at Schedule [NUMBER]], [in each case] as may be updated from time to time;
                  </paratext>
                </para>
              </subclause2>
              <subclause2 id="a486980">
                <identifier>(c)</identifier>
                <para>
                  <paratext>
                    promptly report to the Client (in writing) if they become aware of any suspected or actual breach of 
                    <internal.reference refid="a153021">
                      <ital>clause 3.13(a)</ital>
                    </internal.reference>
                    , or have reason to believe that they have received a request or demand to commit a fraud offence within the meaning of section 199(6) of the Economic Crime and Corporate Transparency Act 2023, in connection with the performance of this agreement;
                  </paratext>
                </para>
              </subclause2>
              <subclause2 id="a875901">
                <identifier>(d)</identifier>
                <para>
                  <paratext>
                    ensure that all persons associated with the Consultant or other persons who are performing services [or providing goods] in connection with this agreement comply with this 
                    <internal.reference refid="a771311">
                      <ital>clause 3.13</ital>
                    </internal.reference>
                    ;
                  </paratext>
                </para>
              </subclause2>
              <subclause2 id="a420844">
                <identifier>(e)</identifier>
                <para>
                  <paratext>if requested, co-operate with and provide reasonable assistance to the Client, at the Client's [reasonable] cost, to enable the Client to investigate, or respond to any requests from a relevant government department or agency to investigate, an alleged offence under section 199 of the Economic Crime and Corporate Transparency Act 2023; and</paratext>
                </para>
              </subclause2>
              <subclause2 id="a537092">
                <identifier>(f)</identifier>
                <para>
                  <paratext>
                    within [NUMBER] months of the date of this agreement, and annually thereafter, certify to the Client in writing compliance with this 
                    <internal.reference refid="a771311">
                      <ital>clause 3.13</ital>
                    </internal.reference>
                     by the Consultant and all persons associated with the Consultant or other persons who are performing services [or providing goods] in connection with this agreement. The Consultant shall provide such supporting evidence of compliance as the Client may reasonably request.
                  </paratext>
                </para>
                <drafting.note id="a794222" jurisdiction="">
                  <head align="left" preservecase="true">
                    <headtext>Prevention of fraud</headtext>
                  </head>
                  <division id="a000029" level="1">
                    <para>
                      <paratext>
                        The 
                        <link href="w-041-2247" style="ACTLinkPLCtoPLC">
                          <ital>Economic Crime and Corporate Transparency Act 2023</ital>
                        </link>
                         (ECCTA) introduces a corporate offence of failing to prevent fraud. From 1 September 2025, large organisations may be held criminally liable where an employee, agent, subsidiary or other "associated person" commits a fraud intending to benefit the organisation. This could include a consultant. Under ECCTA, a person is associated with a relevant body (an associated person) if the person:
                      </paratext>
                    </para>
                    <list type="bulleted">
                      <list.item>
                        <para>
                          <paratext>Is an employee, agent or subsidiary undertaking of the relevant body.</paratext>
                        </para>
                      </list.item>
                      <list.item>
                        <para>
                          <paratext>Performs services for or on behalf of the relevant body.</paratext>
                        </para>
                      </list.item>
                    </list>
                    <para>
                      <paratext>
                        (
                        <link href="https://uk.practicallaw.thomsonreuters.com/w-041-2335?originationContext=document&amp;amp;transitionType=PLDocumentLink&amp;amp;contextData=(sc.Default)&amp;amp;ppcid=70bb82efe8cf4b4b97a262e32646d19c" style="ACTLinkURL">
                          <ital>Section 199(7)</ital>
                        </link>
                        <ital>, ECCTA 2023.</ital>
                        )
                      </paratext>
                    </para>
                    <para>
                      <paratext>
                        "Associated person" is therefore defined widely enough to catch many service providers, including consultants. However, the position is not always clear cut. See 
                        <link anchor="a459962" href="w-046-8564" style="ACTLinkPLCtoPLC">
                          <ital>Practice note, ECCTA 2023: failure to prevent fraud offence: application to commercial relationships: Associated person</ital>
                        </link>
                         for more detailed commentary on this issue. See also 
                        <link anchor="a100331" href="w-039-9590" style="ACTLinkPLCtoPLC">
                          <ital>Practice note, ECCTA 2023: failure to prevent fraud offence: Person associated with relevant body</ital>
                        </link>
                        . Even if the client is not within the scope of the failure to prevent fraud provisions in ECCTA, or the relationship is not caught because the consultant is not an associated person, there are good ethics and compliance reasons to include an anti-fraud provision in a consultancy agreement.
                      </paratext>
                    </para>
                    <para>
                      <paratext>
                        There is a defence available to the offence if the organisation has in place reasonable fraud prevention procedures (see 
                        <link anchor="a615095" href="w-039-9590" style="ACTLinkPLCtoPLC">
                          <ital>Defence to failure to prevent fraud offence</ital>
                        </link>
                        ). Guidance published by the Home Office suggests that organisations should put in place relevant contractual terms and policies (see 
                        <link href="w-044-9386" style="ACTLinkPLCtoPLC">
                          <ital>Legal update, Home Office publishes new failure to prevent fraud guidance</ital>
                        </link>
                         and 
                        <link anchor="a760468" href="w-039-9590" style="ACTLinkPLCtoPLC">
                          <ital>Guidance on reasonable fraud prevention procedures</ital>
                        </link>
                        ).
                      </paratext>
                    </para>
                    <para>
                      <paratext>
                        Organisations are likely to have experience of putting similar provisions and policies in place under the Bribery Act 2010 (see 
                        <link href="5-504-5185" style="ACTLinkPLCtoPLC">
                          <ital>Practice note, Bribery Act 2010: issues for employment lawyers</ital>
                        </link>
                        ). The fraud prevention procedures set down in the guidance are based on the same six principles. However, other than perhaps in the financial services sector, many organisations are unlikely to have a standalone anti-fraud policy. Anti-fraud policies may instead form part of a wider ethics policy, code of ethics or anti-bribery or corruption policy. The drafting of 
                        <internal.reference refid="a771311">
                          <ital>clause 3.13</ital>
                        </internal.reference>
                         reflects this and assumes that the consultant will be asked to comply with the client's ethics, anti-bribery and anti-corruption policies or anti-fraud policy. However, the consultant may challenge this if they have their own relevant policies (less likely in the case of an individual consultant rather than consultant company). If the consultant does, and argues that they cannot modify their own policies, be prepared to review these policies to assess whether they are adequate and amend 
                        <internal.reference refid="a640649">
                          <ital>clause 3.13(b)</ital>
                        </internal.reference>
                         accordingly.
                      </paratext>
                    </para>
                    <para>
                      <paratext>Keep in mind that using anti-fraud provisions in a consultancy agreement will not on its own automatically constitute a reasonable prevention procedures defence, but it may form an important part of any defence. However, simply adding provisions to a client's standard consultancy agreements will not be enough; clients should also, for example, ensure they have in place appropriate monitoring and auditing processes to check and address non-compliance. Additionally, understanding and mitigating fraud risks should form part of an organisation's wider approach to ethics and governance.</paratext>
                    </para>
                    <para>
                      <paratext>
                        For more information on the failure to prevent offence generally, see 
                        <link href="w-039-9590" style="ACTLinkPLCtoPLC">
                          <ital>Practice notes, ECCTA 2023: failure to prevent fraud offence</ital>
                        </link>
                         and 
                        <link href="w-046-8564" style="ACTLinkPLCtoPLC">
                          <ital>ECCTA 2023: failure to prevent fraud offence: application to commercial relationships</ital>
                        </link>
                        .
                      </paratext>
                    </para>
                  </division>
                </drafting.note>
              </subclause2>
            </subclause1>
          </clause>
          <clause id="a839540">
            <identifier>4.</identifier>
            <head align="left" preservecase="true">
              <headtext>Fees</headtext>
            </head>
            <drafting.note id="a937702" jurisdiction="">
              <head align="left" preservecase="true">
                <headtext>Fees</headtext>
              </head>
              <division id="a000030" level="1">
                <para>
                  <paratext>How the consultant is paid, and if they enjoy any benefits from the client, will be relevant factors in determining employment status for employment law and tax purposes. Employees are typically paid a fixed amount, while consultants are usually paid for time actually spent or for deliverables achieved, as it is assumed they are taking some financial risk rather than just being paid a salary.</paratext>
                </para>
                <para>
                  <paratext>
                    <internal.reference refid="a839540">
                      <ital>clause 4</ital>
                    </internal.reference>
                     assumes that the consultant is paid their fee within a certain period after receipt by the client of an invoice. An option is provided for the client to stage payments based on the achievement of specific deliverables. If this approach is taken, the first option of paying the consultant an hourly or daily rate should be deleted. The list of deliverables and related fees can be added to or shortened, as appropriate, to reflect the deliverables set out in 
                    <internal.reference refid="a551048">
                      <ital>Schedule 1</ital>
                    </internal.reference>
                    . For further information on adopting a deliverables-based approach, see 
                    <internal.reference refid="a84783">
                      <ital>Drafting note, General duties</ital>
                    </internal.reference>
                    .
                  </paratext>
                </para>
                <para>
                  <paratext>
                    The consultant will be required to be registered for 
                    <link href="5-107-7468" style="ACTLinkPLCtoPLC">
                      <ital>VAT</ital>
                    </link>
                     if their taxable supplies exceed a certain amount each year (see 
                    <link anchor="a79581" href="6-201-2606" style="ACTLinkPLCtoPLC">
                      <ital>Practice note, Tax rates and limits: Value added tax</ital>
                    </link>
                    ).
                  </paratext>
                </para>
              </division>
            </drafting.note>
            <subclause1 id="a675508">
              <identifier>4.1</identifier>
              <para>
                <paratext>
                  [The Client shall pay the Consultant a fee of £[AMOUNT] per [hour 
                  <bold>OR</bold>
                   day] [exclusive 
                  <bold>OR</bold>
                   inclusive] of VAT. On the last working day of each month during the Engagement, the Consultant shall submit to the Client an invoice which gives details of the [hours 
                  <bold>OR </bold>
                  days] the Consultant [or any Substitute] has worked during the month, the Services provided and the amount of the fee payable (plus VAT, if applicable) for the Services during that month.
                </paratext>
              </para>
              <para>
                <paratext>
                  <bold>OR</bold>
                </paratext>
              </para>
              <para>
                <paratext>
                  The Client shall pay the Consultant the fees set out below [exclusive 
                  <bold>OR</bold>
                   inclusive] of VAT following the receipt of appropriate invoices from the Consultant, in each case giving details of the Services provided, the Deliverable achieved to the satisfaction of the Client in accordance with Schedule 1, the dates on which the Services were provided and the amount of the fee payable (plus VAT, if applicable) for the achievement of the Deliverable:
                </paratext>
              </para>
              <subclause2 id="a938824">
                <identifier>(a)</identifier>
                <para>
                  <paratext>[DETAILS OF DELIVERABLE ONE]: £[FEE PAYABLE].</paratext>
                </para>
              </subclause2>
              <subclause2 id="a435613">
                <identifier>(b)</identifier>
                <para>
                  <paratext>[DETAILS OF DELIVERABLE TWO]: £[FEE PAYABLE].</paratext>
                </para>
              </subclause2>
              <subclause2 id="a210432">
                <identifier>(c)</identifier>
                <para>
                  <paratext>[DETAILS OF DELIVERABLE THREE]: £[FEE PAYABLE].</paratext>
                </para>
              </subclause2>
              <para>
                <paratext>The fees set out in this clause 4.1 shall only be payable to the Consultant following the achievement of a Deliverable (as set out more particularly in Schedule 1) to the satisfaction of the Client. The Consultant shall submit invoices, in each case, within [INSERT TIME PERIOD] of achievement of a Deliverable to the satisfaction of the Client.]</paratext>
              </para>
            </subclause1>
            <subclause1 id="a709180">
              <identifier>4.2</identifier>
              <para>
                <paratext>
                  In consideration of the provision of the Services during the Engagement, the Client shall pay each invoice submitted by the Consultant in accordance with 
                  <internal.reference refid="a675508">
                    <ital>clause 4.1</ital>
                  </internal.reference>
                   within [NUMBER] weeks of receipt.
                </paratext>
              </para>
            </subclause1>
            <subclause1 id="a834725">
              <identifier>4.3</identifier>
              <para>
                <paratext>The Client shall be entitled to deduct from the fees (and any other sums) due to the Consultant any sums that the Consultant may owe to the Client [or any Group Company] at any time.</paratext>
              </para>
              <drafting.note id="a937681" jurisdiction="">
                <head align="left" preservecase="true">
                  <headtext>Deductions</headtext>
                </head>
                <division id="a000031" level="1">
                  <para>
                    <paratext>
                      This clause is necessary as, under 
                      <link href="5-509-0427" style="ACTLinkPLCtoPLC">
                        <ital>section 13(1)</ital>
                      </link>
                       of 
                      <link href="2-503-9360" style="ACTLinkPLCtoPLC">
                        <ital>The Employment Rights Act 1996</ital>
                      </link>
                       (ERA 1996) (which applies to workers as well as to employees), deductions cannot be made to wages unless either:
                    </paratext>
                  </para>
                  <list type="bulleted">
                    <list.item>
                      <para>
                        <paratext>It is required or authorised to be made by a statutory provision or a relevant provision in the worker's contract.</paratext>
                      </para>
                    </list.item>
                    <list.item>
                      <para>
                        <paratext>The worker has previously consented in writing to the deduction.</paratext>
                      </para>
                    </list.item>
                  </list>
                  <para>
                    <paratext>
                      <internal.reference refid="a834725">
                        <ital>clause 4.3</ital>
                      </internal.reference>
                       provides the client with the necessary contractual authority if the consultant is held to be a worker.
                    </paratext>
                  </para>
                </division>
              </drafting.note>
            </subclause1>
            <subclause1 id="a791592">
              <identifier>4.4</identifier>
              <para>
                <paratext>
                  Payment in full or in part of the fees claimed under 
                  <internal.reference refid="a839540">
                    <ital>clause 4</ital>
                  </internal.reference>
                   [or any expenses claimed under 
                  <internal.reference refid="a603525">
                    <ital>clause 5</ital>
                  </internal.reference>
                  ] shall be without prejudice to any claims or rights of the Client [or any Group Company] against the Consultant in respect of the provision of the Services.
                </paratext>
              </para>
            </subclause1>
          </clause>
          <clause id="a603525">
            <identifier>5.</identifier>
            <head align="left" preservecase="true">
              <headtext>Expenses</headtext>
            </head>
            <subclause1 id="a394612">
              <identifier>5.1</identifier>
              <para>
                <paratext>
                  [The Client shall reimburse all reasonable expenses properly and necessarily incurred by the Consultant in the course of the Engagement, subject to production of receipts or other appropriate evidence of payment 
                  <bold>OR</bold>
                   The Consultant shall bear their own expenses incurred in the course of the Engagement].
                </paratext>
              </para>
            </subclause1>
            <subclause1 id="a609105">
              <identifier>5.2</identifier>
              <para>
                <paratext>If the Consultant is required to travel abroad in the course of the Engagement, they shall be responsible for any necessary insurances, inoculations and immigration requirements.</paratext>
              </para>
              <drafting.note id="a571341" jurisdiction="">
                <head align="left" preservecase="true">
                  <headtext>Foreign travel</headtext>
                </head>
                <division id="a000032" level="1">
                  <para>
                    <paratext>The requirement for the consultant to arrange and pay for any travel insurance, inoculations, or immigration requirements is intended to evidence their self-employed status.</paratext>
                  </para>
                </division>
              </drafting.note>
            </subclause1>
          </clause>
          <clause id="a972516">
            <identifier>6.</identifier>
            <head align="left" preservecase="true">
              <headtext>Other activities</headtext>
            </head>
            <drafting.note id="a174171" jurisdiction="">
              <head align="left" preservecase="true">
                <headtext>Other activities</headtext>
              </head>
              <division id="a000033" level="1">
                <para>
                  <paratext>It is not advisable to place an absolute restriction on the consultant undertaking any other work during the term of the engagement. The fact that the consultant has other clients will be a useful indicator of self-employment for employment law and tax purposes. On the other hand, it may not be commercially acceptable to the client to allow the consultant to work for its competitors or to undertake other work that could adversely affect their ability to properly perform the services.</paratext>
                </para>
                <para>
                  <paratext>
                    <internal.reference refid="a972516">
                      <ital>clause 6</ital>
                    </internal.reference>
                     seeks to provide a middle ground by requiring the consultant to obtain the prior written consent of the client before undertaking any activity which may be in any way competitive with the business of the client. The client should be advised that their consent should not be unreasonably withheld. The greater the number of restrictions placed on the consultant's activities, the more likely a finding of employment status for employment law and tax purposes.
                  </paratext>
                </para>
                <para>
                  <paratext>
                    The "Business of the Client" should be adequately defined in 
                    <internal.reference refid="a284888">
                      <ital>clause 1</ital>
                    </internal.reference>
                     to ensure that 
                    <internal.reference refid="a233218">
                      <ital>clause 6(b)</ital>
                    </internal.reference>
                     provides adequate protection.
                  </paratext>
                </para>
              </division>
            </drafting.note>
            <subclause1 id="a000034"/>
            <subclause1 id="a321449">
              <para>
                <paratext>Nothing in this agreement shall prevent the Consultant from being engaged, concerned or having any financial interest in any Capacity in any other business, trade, profession or occupation during the Engagement provided that:</paratext>
              </para>
              <subclause2 id="a304073">
                <identifier>(a)</identifier>
                <para>
                  <paratext>such activity does not cause a breach of any of the Consultant's obligations under this agreement;</paratext>
                </para>
              </subclause2>
              <subclause2 id="a233218">
                <identifier>(b)</identifier>
                <para>
                  <paratext>
                    the Consultant shall not engage in any such activity if it relates to a business which is similar to or in any way competitive with the Business of the Client [or any Group Company] without the prior written consent of the [Client 
                    <bold>OR</bold>
                     Board] [(such consent not to be unreasonably withheld)]; and
                  </paratext>
                </para>
              </subclause2>
              <subclause2 id="a825968">
                <identifier>(c)</identifier>
                <para>
                  <paratext>the Consultant shall give priority to the provision of the Services to the Client over any other business activities undertaken by the Consultant during the Engagement.</paratext>
                </para>
              </subclause2>
            </subclause1>
          </clause>
          <clause id="a504848">
            <identifier>7.</identifier>
            <head align="left" preservecase="true">
              <headtext>[Confidential information</headtext>
            </head>
            <drafting.note id="a378057" jurisdiction="">
              <head align="left" preservecase="true">
                <headtext>Confidential information (optional clause)</headtext>
              </head>
              <division id="a000035" level="1">
                <para>
                  <paratext>
                    There is no implied duty of confidentiality owed by a self-employed consultant (as there would be for an employee) (see 
                    <link anchor="a384883" href="7-520-0316" style="ACTLinkPLCtoPLC">
                      <ital>Practice note, Consultants: Confidentiality</ital>
                    </link>
                    ). Therefore, it is important to consider whether to impose express confidentiality obligations on the consultant which cover their activities both during and after the engagement. This clause is based on our 
                    <link href="9-200-2130" style="ACTLinkPLCtoPLC">
                      <ital>Standard clause, Confidentiality clause (long-form)</ital>
                    </link>
                     but adapted for use in a consultancy context. For further information about specific provisions, see the drafting notes in that document. For a more detailed confidentiality agreement for use with a consultant in the IT field, see 
                    <link href="1-204-6072" style="ACTLinkPLCtoPLC">
                      <ital>Standard document, Non-disclosure agreement with consultant</ital>
                    </link>
                    .
                  </paratext>
                </para>
                <para>
                  <paratext>
                    In the light of the #MeToo controversy, the use of confidentiality clauses (commonly referred to as non-disclosure agreements or NDAs) has come under increasing scrutiny. There is a regulatory framework imposing specific duties on solicitors who are advising on NDAs, including a 
                    <link href="https://www.sra.org.uk/solicitors/guidance/non-disclosure-agreements-ndas/" style="ACTLinkURL">
                      <ital>Warning Notice</ital>
                    </link>
                     by the Solicitors Regulation Authority (SRA) which explains when an NDA is likely to be improperly used (see 
                    <link href="w-022-4389" style="ACTLinkPLCtoPLC">
                      <ital>Practice note, Non-disclosure agreements (NDAs) and confidentiality clauses</ital>
                    </link>
                    ). Practitioners must bear in mind these obligations when drafting and advising on this clause.
                  </paratext>
                </para>
                <para>
                  <paratext>The SRA's Warning Notice states that:</paratext>
                </para>
                <list type="bulleted">
                  <list.item>
                    <para>
                      <paratext>NDAs should not be used routinely. Firms and clients should consider carefully whether an NDA is necessary given the specific circumstances of the case.</paratext>
                    </para>
                  </list.item>
                  <list.item>
                    <para>
                      <paratext>Those dealing with NDAs should not become over-reliant on NDA templates and complacent about the risks. Templates should always be specifically tailored to the individual circumstances of each case.</paratext>
                    </para>
                  </list.item>
                </list>
                <para>
                  <paratext>
                    We have therefore made 
                    <internal.reference refid="a504848">
                      <ital>clause 7</ital>
                    </internal.reference>
                     optional so that a proactive decision must be made to include it. If this clause is included, practitioners should consider whether each separate provision is necessary and how it can be tailored to the specific individual. For further information on best practice when drafting and advising on NDAs, see 
                    <link anchor="a339684" href="w-022-4389" style="ACTLinkPLCtoPLC">
                      <ital>Practice note, Non-disclosure agreements (NDAs) and confidentiality clauses : NDAs: best practice</ital>
                    </link>
                    .
                  </paratext>
                </para>
                <para>
                  <paratext>
                    If this clause is not included, the client should be aware that its confidential information may not be protected. As the consultant will not owe the client any implied duty of confidentiality, the client will have no contractual protection. In certain circumstances, the client may have some statutory protection under the 
                    <link href="w-014-9127" style="ACTLinkPLCtoPLC">
                      <ital>Trade Secrets (Enforcement, etc.) Regulations 2018 (SI 2018/597)</ital>
                    </link>
                     but even if applicable this will only cover information meeting the statutory definition of a trade secret (see 
                    <link anchor="a977129" href="8-201-8805" style="ACTLinkPLCtoPLC">
                      <ital>Practice note, Confidentiality during employment and after termination: Trade Secrets Regulations</ital>
                    </link>
                    ).
                  </paratext>
                </para>
                <division id="a149943" level="2">
                  <head align="left" preservecase="true">
                    <headtext>Confidentiality obligations and substitutes</headtext>
                  </head>
                  <para>
                    <paratext>
                      Optional wording is included in this clause which imposes obligations on the consultant to procure compliance with these confidentiality provisions by any substitute used by the consultant pursuant to 
                      <internal.reference refid="a506867">
                        <ital>clause 3.3</ital>
                      </internal.reference>
                      . However, in practice (and depending on the nature of confidential information to which a substitute would have access), the client may wish to require a substitute to sign a separate non-disclosure agreement.
                    </paratext>
                  </para>
                </division>
                <division id="a777355" level="2">
                  <head align="left" preservecase="true">
                    <headtext>Other restrictive covenants</headtext>
                  </head>
                  <para>
                    <paratext>
                      It may be commercially attractive for the client to place additional restrictions on the consultant after the termination of the engagement (for example, a non-solicitation restriction regarding the client's employees or customers) (see 
                      <link href="2-200-2157" style="ACTLinkPLCtoPLC">
                        <ital>Standard clause, Restrictive covenant clauses</ital>
                      </link>
                      ). However, restrictions of this kind suggest that the client has control over the activities of the consultant and may therefore point towards an employment relationship. The client will have to weigh up the commercial reasons for including such clauses against the risk that the consultant may be found to be an employee for employment law or tax purposes. For further information, see 
                      <link anchor="a342157" href="7-520-0316" style="ACTLinkPLCtoPLC">
                        <ital>Practice note, Consultants: Restrictive covenants</ital>
                      </link>
                      .
                    </paratext>
                  </para>
                </division>
              </division>
            </drafting.note>
            <subclause1 id="a913662">
              <identifier>7.1</identifier>
              <para>
                <paratext>
                  The Consultant acknowledges that during the Engagement they will have access to Confidential Information. The Consultant has therefore agreed to accept the restrictions in this 
                  <internal.reference refid="a504848">
                    <ital>clause 7</ital>
                  </internal.reference>
                  .
                </paratext>
              </para>
            </subclause1>
            <subclause1 id="a284196">
              <identifier>7.2</identifier>
              <para>
                <paratext>The Consultant shall not [and shall procure that any Substitute shall not] (except in the proper course of providing the Services, as authorised or required by law or as authorised by the Client), either during the Engagement or at any time after the Termination Date:</paratext>
              </para>
              <subclause2 id="a543620">
                <identifier>(a)</identifier>
                <para>
                  <paratext>use any Confidential Information for their own benefit or for the benefit of any other person, company or organisation whatever;</paratext>
                </para>
              </subclause2>
              <subclause2 id="a174058">
                <identifier>(b)</identifier>
                <para>
                  <paratext>make or use any Copies; or</paratext>
                </para>
              </subclause2>
              <subclause2 id="a899912">
                <identifier>(c)</identifier>
                <para>
                  <paratext>disclose any Confidential Information to any person, company or other organisation whatever.</paratext>
                </para>
              </subclause2>
            </subclause1>
            <subclause1 id="a923567">
              <identifier>7.3</identifier>
              <para>
                <paratext>
                  [The restriction in 
                  <internal.reference refid="a284196">
                    <ital>clause 7.2</ital>
                  </internal.reference>
                   does not apply to any Confidential Information which is or comes into the public domain other than through the Consultant's unauthorised disclosure.]
                </paratext>
              </para>
              <drafting.note id="a529092" jurisdiction="">
                <head align="left" preservecase="true">
                  <headtext>Information already public (optional sub-clause)</headtext>
                </head>
                <division id="a000036" level="1">
                  <para>
                    <paratext>
                      It is arguable that information that is already in the public domain should not be excluded from the ambit of this clause. This is because publication does not necessarily destroy confidentiality (
                      <link href="https://uk.practicallaw.thomsonreuters.com/D-000-5887?originationContext=document&amp;amp;transitionType=PLDocumentLink&amp;amp;contextData=(sc.Default)&amp;amp;ppcid=46ee4432f66546a9b802f8d165e74737" style="ACTLinkURL">
                        <ital>Attorney General v Guardian Newspapers Ltd (No 2) [1988] UKHL 6</ital>
                      </link>
                      ). However, it is standard practice to exclude such information from the restriction.
                    </paratext>
                  </para>
                </division>
              </drafting.note>
            </subclause1>
            <subclause1 id="a464522">
              <identifier>7.4</identifier>
              <para>
                <paratext>The Consultant shall be responsible for protecting the confidentiality of the Confidential Information. The Consultant shall[, and shall procure that any Substitute shall]:</paratext>
              </para>
              <subclause2 id="a417444">
                <identifier>(a)</identifier>
                <para>
                  <paratext>use their best endeavours to prevent the use or communication of any Confidential Information by any person, company or organisation whatever (except in the proper course of providing the Services, as required by law or as authorised by the Client); and</paratext>
                </para>
              </subclause2>
              <subclause2 id="a572598">
                <identifier>(b)</identifier>
                <para>
                  <paratext>inform the Client immediately on becoming aware, or suspecting, that any such person, company or organisation knows or has used any Confidential Information.</paratext>
                </para>
              </subclause2>
            </subclause1>
            <subclause1 id="a646535">
              <identifier>7.5</identifier>
              <para>
                <paratext>All Confidential Information and Copies shall be the Client's property and on termination of the Engagement, or at the Client's request at any time during the Engagement, the Consultant shall[, and shall procure that any Substitute shall]:</paratext>
              </para>
              <subclause2 id="a484948">
                <identifier>(a)</identifier>
                <para>
                  <paratext>hand over all Confidential Information and Copies to the Client;</paratext>
                </para>
              </subclause2>
              <subclause2 id="a879074">
                <identifier>(b)</identifier>
                <para>
                  <paratext>
                    irretrievably delete any Confidential Information (including any Copies) stored on any magnetic or optical disk or memory, including personal computer networks, personal email accounts, or personal accounts on websites, and all matter derived from such sources which is in their possession or under their control outside [the Client's 
                    <bold>OR</bold>
                     any Group Company's] premises; and
                  </paratext>
                </para>
              </subclause2>
              <subclause2 id="a190265">
                <identifier>(c)</identifier>
                <para>
                  <paratext>
                    provide a signed statement that they have complied fully with their obligations under this 
                    <internal.reference refid="a504848">
                      <ital>clause 7</ital>
                    </internal.reference>
                    .
                  </paratext>
                </para>
              </subclause2>
            </subclause1>
            <subclause1 id="a653044">
              <identifier>7.6</identifier>
              <para>
                <paratext>
                  Nothing in this 
                  <internal.reference refid="a504848">
                    <ital>clause 7</ital>
                  </internal.reference>
                   shall prevent the Consultant from:
                </paratext>
              </para>
              <subclause2 id="a717727">
                <identifier>(a)</identifier>
                <para>
                  <paratext>reporting a suspected criminal offence to the police or any law enforcement agency or co-operating with the police or any law enforcement agency regarding a criminal investigation or prosecution;</paratext>
                </para>
              </subclause2>
              <subclause2 id="a372488">
                <identifier>(b)</identifier>
                <para>
                  <paratext>doing or saying anything that is required by HMRC or a regulator, ombudsman or supervisory authority;</paratext>
                </para>
              </subclause2>
              <subclause2 id="a177893">
                <identifier>(c)</identifier>
                <para>
                  <paratext>whether required by law or not, making a disclosure to, or co-operating with any investigation by, HMRC or a regulator, ombudsman or supervisory authority regarding any misconduct, wrongdoing or serious breach of regulatory requirements (including giving evidence at a hearing);</paratext>
                </para>
              </subclause2>
              <subclause2 id="a347585">
                <identifier>(d)</identifier>
                <para>
                  <paratext>complying with an order from a court or tribunal to disclose or give evidence;</paratext>
                </para>
              </subclause2>
              <subclause2 id="a635857">
                <identifier>(e)</identifier>
                <para>
                  <paratext>disclosing information to HMRC for the purposes of establishing and paying (or recouping) tax liabilities arising from the Engagement;</paratext>
                </para>
              </subclause2>
              <subclause2 id="a229758">
                <identifier>(f)</identifier>
                <para>
                  <paratext>disclosing information to any person who owes the Consultant a duty of confidentiality (which the Consultant agrees not to waive) in respect of information disclosed to them, including legal or tax advisers or persons providing the Consultant with medical, therapeutic, counselling or support services; or</paratext>
                </para>
              </subclause2>
              <subclause2 id="a412104">
                <identifier>(g)</identifier>
                <para>
                  <paratext>making any other disclosure as required by law.]</paratext>
                </para>
                <drafting.note id="a840832" jurisdiction="">
                  <head align="left" preservecase="true">
                    <headtext>Confidentiality "carve-outs"</headtext>
                  </head>
                  <division id="a000037" level="1">
                    <para>
                      <paratext>
                        The wording of this 
                        <internal.reference refid="a653044">
                          <ital>clause 7.6</ital>
                        </internal.reference>
                         reflects common practice for employees, rather than self-employed independent consultants. However, it also reflects the SRA's Warning Notice on the use of NDAs. For this reason, we have not marked any of the suggested carve-outs as optional. However, what is appropriate may be different in each case. When drafting and advising on appropriate carve-outs, solicitors must bear in mind their regulatory obligations (see 
                        <internal.reference refid="a378057">
                          <ital>Drafting note, Confidential information (optional clause)</ital>
                        </internal.reference>
                        ).
                      </paratext>
                    </para>
                    <para>
                      <paratext>
                        For further information about carve-outs, see 
                        <link anchor="a897319" href="9-200-2130" style="ACTLinkPLCtoPLC">
                          <ital>Standard clause, Confidentiality clause (long-form): Drafting note: Confidentiality "carve-outs"</ital>
                        </link>
                        .
                      </paratext>
                    </para>
                  </division>
                </drafting.note>
              </subclause2>
            </subclause1>
          </clause>
          <clause id="a680194">
            <identifier>8.</identifier>
            <head align="left" preservecase="true">
              <headtext>Data protection</headtext>
            </head>
            <drafting.note id="a832277" jurisdiction="">
              <head align="left" preservecase="true">
                <headtext>Data protection</headtext>
              </head>
              <division id="a000038" level="1">
                <para>
                  <paratext>
                    The data protection legislation in the UK comprises the retained EU law version of the General Data Protection Regulation (EU) 
                    <ital>2016/679</ital>
                     (UK GDPR) and the Data Protection Act 2018 (DPA 2018).
                  </paratext>
                </para>
                <para>
                  <paratext>
                    For information on the UK GDPR and the DPA 2018, as well as the extra-territorial effect of the General Data Protection Regulation (EU) 
                    <ital>2016/679</ital>
                     (EU GDPR), see 
                    <link href="w-010-3418" style="ACTLinkPLCtoPLC">
                      <ital>Practice note, UK GDPR and DPA 2018: an overview for employment lawyers</ital>
                    </link>
                    .
                  </paratext>
                </para>
                <para>
                  <paratext>
                    The UK GDPR imposes direct obligations on a processor.  A processor is defined as a natural or legal person, public authority, agency or other body which processes personal data on behalf of a data controller (
                    <ital>Article 4(8), UK GDPR</ital>
                    ).
                  </paratext>
                </para>
                <para>
                  <paratext>
                    <internal.reference refid="a325693">
                      <ital>Clause 8.1</ital>
                    </internal.reference>
                     refers to the privacy notice which the client must provide to the consultant under the UK GDPR, setting out details of how the client will use information about the consultant. For an example privacy notice, see 
                    <link href="w-011-4217" style="ACTLinkPLCtoPLC">
                      <ital>Standard document, UK GDPR Privacy notice for employees, workers and contractors</ital>
                    </link>
                    .
                  </paratext>
                </para>
                <para>
                  <paratext>
                    Depending on what the consultant's services are, they may be a processor. If they are, they will be subject to certain obligations and there are certain terms which must be included in the consultancy agreement. 
                    <internal.reference refid="a985666">
                      <ital>Clause 8.2</ital>
                    </internal.reference>
                     to 
                    <internal.reference refid="a167121">
                      <ital>clause 8.8</ital>
                    </internal.reference>
                     reflect the UK GDPR requirements for written provisions to be in place between a controller and a processor.
                  </paratext>
                </para>
                <para>
                  <paratext>
                    <internal.reference refid="a339519">
                      <ital>Clause 8.6</ital>
                    </internal.reference>
                     reflects the requirement in the UK GDPR for a processor to implement appropriate technical and organisational measures to secure personal data (
                    <ital>Articles 28 and 32</ital>
                    ).
                  </paratext>
                </para>
                <para>
                  <paratext>
                    The first option in 
                    <internal.reference refid="a740323">
                      <ital>clause 8.7</ital>
                    </internal.reference>
                     is relevant if there is no ability for the consultant to appoint a substitute (see the optional wording at 
                    <internal.reference refid="a506867">
                      <ital>clause 3.3</ital>
                    </internal.reference>
                    ). If the consultant is a processor and will be able to appoint a substitute or any sub-processor, the second option is relevant. 
                    <link href="https://uk.westlaw.com/Document/ID9E16550149911E9A3ACBD4240CE8204/View/FullText.html" style="ACTLinkURL">
                      <ital>Article 28(2)</ital>
                    </link>
                     of the UK GDPR contains restrictions to prevent processors from engaging sub-processors without the prior specific or general written authorisation of the controller. We have assumed that the client is the controller and the consultant is a processor. The restrictions apply to any substitute who would be considered a sub-processor under the UK GDPR. In the case of a general written authorisation to engage sub-processors, the processor (consultant) must inform the controller (client) of any intended changes to existing sub-processors or new sub-processors (including, where relevant, any substitutes) and give it the right (and time) to object to these changes. The client may exercise its right for a specific written authorisation prior to the engagement of any sub-processor by the processor (including, where relevant, any substitutes). However, the requirements of Article 28(2) of the UK GDPR sit somewhat awkwardly alongside the benefits of having an unfettered right of substitution for employment law and tax purposes. For commentary on this point, see 
                    <internal.reference refid="a245437">
                      <ital>Drafting note, Appointment of substitute (optional clause)</ital>
                    </internal.reference>
                    .
                  </paratext>
                </para>
                <para>
                  <paratext>
                    Depending on the risks identified under the UK GDPR owing to the nature of the personal data and/or data subjects, a client and consultant or the consultant (processor) and sub-processor may wish to execute a separate data processing agreement under this agreement (see, for example, 
                    <link href="w-013-2951" style="ACTLinkPLCtoPLC">
                      <ital>Standard document, Data processing agreement (controller-to-processor) (UK to non-EEA)</ital>
                    </link>
                    ).
                  </paratext>
                </para>
                <para>
                  <paratext>
                    Certain types of consultant may be a controller and the Information Commissioner's Office (ICO), in its guidance, sets out examples of when a consultant might be considered to be a controller (see 
                    <link href="https://ico.org.uk/media/for-organisations/documents/1546/data-controllers-and-data-processors-dp-guidance.pdf" style="ACTLinkURL">
                      <ital>Data controllers and data processors: what the difference is and what the governance implications are</ital>
                    </link>
                    , page 9). While this guidance was produced for the purposes of the DPA 1998, it is still relevant to the definitions contained in the UK GDPR and the DPA 2018. For the purposes of this agreement, however, we have assumed that the client is the controller and the consultant is a processor, if they are anything at all.
                  </paratext>
                </para>
                <para>
                  <paratext>
                    <internal.reference refid="a167121">
                      <ital>clause 8.8</ital>
                    </internal.reference>
                     is drafted widely in favour of the client. If acting for the consultant, consider whether liability should be limited (for example, by excluding liability where the consultant can prove it has not acted contrary to the client’s instruction or is in no way responsible for the event giving rise to the damage). Similarly, consider whether the liability provision at the end of 
                    <internal.reference refid="a740323">
                      <ital>clause 8.7</ital>
                    </internal.reference>
                     should be limited to where the sub-processor fails to fulfil its obligations under the written agreement with the consultant which contains terms substantially the same as those set out in this agreement (see 
                    <link anchor="a907170" href="w-013-2951" style="ACTLinkPLCtoPLC">
                      <ital>Standard document, Data processing agreement (controller-to-processor) (UK to non-EEA): Clause 8.4</ital>
                    </link>
                    ).
                  </paratext>
                </para>
                <division id="a000039" level="2">
                  <division id="a855630" level="3">
                    <head align="left" preservecase="true">
                      <headtext>Transfers of personal data outside the UK</headtext>
                    </head>
                    <para>
                      <paratext>
                        If the consultant may be transferring personal data outside of the UK, the second optional wording set out in 
                        <internal.reference refid="a565065">
                          <ital>clause 8.5(e)</ital>
                        </internal.reference>
                         should be used. However, in many cases, we anticipate that the client will not want data to be transferred outside of the UK.
                      </paratext>
                    </para>
                  </division>
                </division>
              </division>
            </drafting.note>
            <subclause1 id="a325693">
              <identifier>8.1</identifier>
              <para>
                <paratext>
                  The Client will collect and process information relating to the Consultant in accordance with the privacy notice which is [on the intranet 
                  <bold>OR</bold>
                   annexed to this agreement].
                </paratext>
              </para>
            </subclause1>
            <subclause1 condition="optional" id="a985666">
              <identifier>8.2</identifier>
              <para>
                <paratext>The Consultant and the Client acknowledge that for the purposes of the Data Protection Legislation, the Client is the controller and the Consultant is the processor.</paratext>
              </para>
            </subclause1>
            <subclause1 condition="optional" id="a848420">
              <identifier>8.3</identifier>
              <para>
                <paratext>The Consultant and the Client will comply with the Data Protection Legislation.</paratext>
              </para>
            </subclause1>
            <subclause1 condition="optional" id="a143989">
              <identifier>8.4</identifier>
              <para>
                <paratext>
                  Schedule [2] sets out the scope, nature and purpose of the processing by the Consultant, the duration of the processing and the types of personal data (as defined in the Data Protection Legislation (
                  <defn.term>Personal Data</defn.term>
                  )) and categories of data subject.
                </paratext>
              </para>
            </subclause1>
            <subclause1 condition="optional" id="a373619">
              <identifier>8.5</identifier>
              <para>
                <paratext>The Consultant shall, in relation to any Personal Data processed in connection with the Engagement:</paratext>
              </para>
              <subclause2 id="a824767">
                <identifier>(a)</identifier>
                <para>
                  <paratext>process that Personal Data only on written instructions of the Client;</paratext>
                </para>
              </subclause2>
              <subclause2 id="a170337">
                <identifier>(b)</identifier>
                <para>
                  <paratext>keep the Personal Data confidential;</paratext>
                </para>
              </subclause2>
              <subclause2 id="a265296">
                <identifier>(c)</identifier>
                <para>
                  <paratext>
                    comply with the Client's [privacy standard 
                    <bold>OR</bold>
                     data protection policy] [data retention guidelines] [LIST OTHER POLICIES];
                  </paratext>
                </para>
              </subclause2>
              <subclause2 id="a366118">
                <identifier>(d)</identifier>
                <para>
                  <paratext>comply with the Client's reasonable instructions with respect to processing Personal Data;</paratext>
                </para>
              </subclause2>
              <subclause2 id="a565065">
                <identifier>(e)</identifier>
                <para>
                  <paratext>[not transfer any Personal Data outside of the UK;</paratext>
                </para>
                <para>
                  <paratext>
                    <bold>OR</bold>
                  </paratext>
                </para>
                <para>
                  <paratext>not transfer any Personal Data outside of the UK unless, in accordance with the Data Protection Legislation, the Consultant ensures that (i) the transfer is to a country approved as providing an adequate level of protection for Personal Data; or (ii) there are appropriate safeguards in place for the transfer of Personal Data; or (iii) binding corporate rules are in place; or (iv) one of the derogations for specific situations applies to the transfer;]</paratext>
                </para>
              </subclause2>
              <subclause2 id="a665557">
                <identifier>(f)</identifier>
                <para>
                  <paratext>assist the Client [at the Client's cost] in responding to any data subject access request and to ensure compliance with its obligations under the Data Protection Legislation with respect to security, breach notifications, privacy impact assessments and consultations with supervisory authorities or regulators;</paratext>
                </para>
              </subclause2>
              <subclause2 id="a896773">
                <identifier>(g)</identifier>
                <para>
                  <paratext>notify the Client without undue delay on becoming aware of a Personal Data breach or communication which relates to the Client's or Consultant's compliance with the Data Protection Legislation;</paratext>
                </para>
              </subclause2>
              <subclause2 id="a311429">
                <identifier>(h)</identifier>
                <para>
                  <paratext>at the written request of the Client, delete or return Personal Data (and any copies of the same) to the Client on termination of the Engagement unless required by the Data Protection Legislation to store the Personal Data; and</paratext>
                </para>
              </subclause2>
              <subclause2 id="a517391">
                <identifier>(i)</identifier>
                <para>
                  <paratext>maintain complete and accurate records and information to demonstrate compliance with this clause [NUMBER] [and allow for audits by the Client or the Client's designated auditor].</paratext>
                </para>
              </subclause2>
            </subclause1>
            <subclause1 condition="optional" id="a339519">
              <identifier>8.6</identifier>
              <para>
                <paratext>The Consultant shall ensure that they have in place appropriate technical or organisational measures, reviewed and approved by the Client,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Such measures may include, where appropriate:</paratext>
              </para>
              <subclause2 id="a719227">
                <identifier>(a)</identifier>
                <para>
                  <paratext>pseudonymising and encrypting Personal Data;</paratext>
                </para>
              </subclause2>
              <subclause2 id="a185196">
                <identifier>(b)</identifier>
                <para>
                  <paratext>ensuring confidentiality, integrity, availability and resilience of its systems and services;</paratext>
                </para>
              </subclause2>
              <subclause2 id="a488826">
                <identifier>(c)</identifier>
                <para>
                  <paratext>ensuring that availability of and access to Personal Data can be restored in a timely manner after an incident; and</paratext>
                </para>
              </subclause2>
              <subclause2 id="a870871">
                <identifier>(d)</identifier>
                <para>
                  <paratext>regularly assessing and evaluating the effectiveness of the technical and organisational measures adopted by it.</paratext>
                </para>
              </subclause2>
            </subclause1>
            <subclause1 id="a740323">
              <identifier>8.7</identifier>
              <para>
                <paratext>[The Client does not agree to the Consultant appointing any third-party processor of Personal Data under this agreement.</paratext>
              </para>
              <para>
                <paratext>
                  <bold>OR </bold>
                </paratext>
              </para>
              <para>
                <paratext>The Consultant may only authorise a sub-processor to process Personal Data if:</paratext>
              </para>
              <subclause2 id="a207010">
                <identifier>(a)</identifier>
                <para>
                  <paratext>
                    the Client [provides written consent prior to the appointment of each sub-processor] 
                    <bold>OR </bold>
                    [is provided with an opportunity to object to the appointment of each sub-processor within [NUMBER] working days after the Consultant supplies the Client with full details in writing regarding such sub-processor];
                  </paratext>
                </para>
              </subclause2>
              <subclause2 id="a960552">
                <identifier>(b)</identifier>
                <para>
                  <paratext>the Consultant enters into a written contract with the sub-processor that contains terms substantially the same as those set out in this agreement, in particular in relation to requiring appropriate technical and organisational data security measures with regards to Article 32 of the UK GDPR and any relevant requirements under Article 28 of the UK GDPR, including but not limited to the sub-processor allowing for and contributing to audits by or on behalf of the Client and, where relevant, aiding the Client to respond to subject access requests, and, upon the Client's written request, provides the Client with copies of the relevant excerpts from such contracts;</paratext>
                </para>
              </subclause2>
              <subclause2 id="a636764">
                <identifier>(c)</identifier>
                <para>
                  <paratext>the Consultant maintains control over all of the Personal Data it entrusts to the sub-processor; and</paratext>
                </para>
              </subclause2>
              <subclause2 id="a980350">
                <identifier>(d)</identifier>
                <para>
                  <paratext>the sub-processor's contract terminates automatically on termination of this agreement for any reason.</paratext>
                </para>
              </subclause2>
              <para>
                <paratext>
                  The Consultant shall remain fully liable for all acts or omissions of any third-party processor appointed by it pursuant to this 
                  <internal.reference refid="a740323">
                    <ital>clause 8.7</ital>
                  </internal.reference>
                  .]
                </paratext>
              </para>
            </subclause1>
            <subclause1 id="a167121">
              <identifier>8.8</identifier>
              <para>
                <paratext>[The Consultant shall have personal liability for and shall indemnify the Client [and any Group Company] for any loss, liability, costs (including legal costs), damages, or expenses resulting from any breach by the Consultant [or a sub-processor engaged by the Consultant] of the Data Protection Legislation, and shall maintain in force full and comprehensive Insurance Policies.]</paratext>
              </para>
            </subclause1>
          </clause>
          <clause id="a584068">
            <identifier>9.</identifier>
            <head align="left" preservecase="true">
              <headtext>Intellectual property</headtext>
            </head>
            <drafting.note id="a355518" jurisdiction="">
              <head align="left" preservecase="true">
                <headtext>Intellectual property</headtext>
              </head>
              <division id="a000040" level="1">
                <para>
                  <paratext>
                    Some IP rights (notably copyright and rights in designs) arising as a result of services provided under a consultancy agreement will normally belong to the consultant. As the client will usually want to take ownership of these rights, it is important to include specific assignment provisions in the consultancy agreement. For more information, see 
                    <link anchor="a390644" href="7-520-0316" style="ACTLinkPLCtoPLC">
                      <ital>Practice note, Consultants: Intellectual property</ital>
                    </link>
                     and 
                    <link href="2-201-2608" style="ACTLinkPLCtoPLC">
                      <ital>Standard clause, Intellectual property clause in a consultancy agreement with an individual or service company</ital>
                    </link>
                    .
                  </paratext>
                </para>
                <para>
                  <paratext>
                    If 
                    <internal.reference refid="a335486">
                      <ital>clause 9.8</ital>
                    </internal.reference>
                     is included, the agreement must be executed as a deed.
                  </paratext>
                </para>
              </division>
            </drafting.note>
            <subclause1 id="a734395">
              <identifier>9.1</identifier>
              <para>
                <paratext>The Consultant hereby assigns to the Client all existing and future Intellectual Property Rights in the Works and the Inventions and all materials embodying these rights to the fullest extent permitted by law. Insofar as they do not vest automatically by operation of law or under this agreement, the Consultant holds legal title in these rights and inventions on trust for the Client.</paratext>
              </para>
            </subclause1>
            <subclause1 id="a657660">
              <identifier>9.2</identifier>
              <para>
                <paratext>The Consultant undertakes:</paratext>
              </para>
              <subclause2 id="a365762">
                <identifier>(a)</identifier>
                <para>
                  <paratext>to notify to the Client in writing full details of any Inventions promptly on their creation;</paratext>
                </para>
              </subclause2>
              <subclause2 id="a955938">
                <identifier>(b)</identifier>
                <para>
                  <paratext>to keep details of all Inventions confidential;</paratext>
                </para>
              </subclause2>
              <subclause2 id="a203820">
                <identifier>(c)</identifier>
                <para>
                  <paratext>whenever requested to do so by the Client and in any event on the termination of the Engagement, promptly to deliver to the Client all correspondence, documents, papers and records on all media (and all copies or abstracts of them) recording or relating to any part of the Works and the process of their creation which are in their possession, custody or power;</paratext>
                </para>
              </subclause2>
              <subclause2 id="a342443">
                <identifier>(d)</identifier>
                <para>
                  <paratext>not to register nor attempt to register any of the Intellectual Property Rights in the Works, nor any of the Inventions, unless requested to do so by the Client; and</paratext>
                </para>
              </subclause2>
              <subclause2 id="a834179">
                <identifier>(e)</identifier>
                <para>
                  <paratext>to do all acts necessary to confirm that absolute title in all Intellectual Property Rights in the Works and the Inventions has passed, or will pass, to the Client.</paratext>
                </para>
              </subclause2>
            </subclause1>
            <subclause1 id="a104625">
              <identifier>9.3</identifier>
              <para>
                <paratext>The Consultant warrants to the Client that:</paratext>
              </para>
              <subclause2 id="a953924">
                <identifier>(a)</identifier>
                <para>
                  <paratext>they have not given and will not give permission to any third party to use any of the Works or the Inventions, nor any of the Intellectual Property Rights in the Works;</paratext>
                </para>
              </subclause2>
              <subclause2 id="a533493">
                <identifier>(b)</identifier>
                <para>
                  <paratext>they are unaware of any use by any third party of any of the Works or Intellectual Property Rights in the Works; and</paratext>
                </para>
              </subclause2>
              <subclause2 id="a102447">
                <identifier>(c)</identifier>
                <para>
                  <paratext>the use of the Works or the Intellectual Property Rights in the Works by the Client will not infringe the rights of any third party.</paratext>
                </para>
              </subclause2>
            </subclause1>
            <subclause1 id="a711988">
              <identifier>9.4</identifier>
              <para>
                <paratext>The Consultant agrees to indemnify the Client and keep it indemnified at all times against all or any costs, claims, damages or expenses incurred by the Client, or for which the Client may become liable, with respect to any intellectual property infringement claim or other claim relating to the Works or Inventions supplied by the Consultant to the Client during the course of providing the Services. The Consultant shall maintain adequate liability insurance coverage and ensure that the Client's interest is noted on the policy, and shall supply a copy of the policy to the Client on request. The Client may at its option satisfy this indemnity (in whole or in part) by way of deduction from any payments due to the Consultant.</paratext>
              </para>
            </subclause1>
            <subclause1 id="a805924">
              <identifier>9.5</identifier>
              <para>
                <paratext>The Consultant waives any moral rights in the Works to which they are now or may at any future time be entitled under Chapter IV of the Copyright Designs and Patents Act 1988 or any similar provisions of law in any jurisdiction, including (but without limitation) the right to be identified, the right of integrity and the right against false attribution, and agrees not to institute, support, maintain or permit any action or claim to the effect that any treatment, exploitation or use of such Works or other materials infringes the Consultant's moral rights.</paratext>
              </para>
            </subclause1>
            <subclause1 id="a755103">
              <identifier>9.6</identifier>
              <para>
                <paratext>
                  The Consultant acknowledges that, except as provided by law, no further fees or compensation other than those provided for in this agreement are due or may become due to the Consultant in respect of the performance of their obligations under this 
                  <internal.reference refid="a584068">
                    <ital>clause 9</ital>
                  </internal.reference>
                  .
                </paratext>
              </para>
            </subclause1>
            <subclause1 id="a350623">
              <identifier>9.7</identifier>
              <para>
                <paratext>
                  The Consultant undertakes, at the expense of the Client, at any time either during or after the Engagement, to execute all documents, make all applications, give all assistance and do all acts and things as may, in the opinion of the [Client 
                  <bold>OR</bold>
                   Board], be necessary or desirable to vest the Intellectual Property Rights in, and to register them in, the name of the Client and to defend the Client against claims that works embodying Intellectual Property Rights or Inventions infringe third party rights, and otherwise to protect and maintain the Intellectual Property Rights in the Works and the Inventions.
                </paratext>
              </para>
            </subclause1>
            <subclause1 id="a335486">
              <identifier>9.8</identifier>
              <para>
                <paratext>The Consultant irrevocably appoints the Client to be their attorney in their name and on their behalf to execute documents, use the Consultant's name and do all things which are necessary or desirable for the Client to obtain for itself or its nominee the full benefit of this clause.</paratext>
              </para>
            </subclause1>
          </clause>
          <clause id="a746572">
            <identifier>10.</identifier>
            <head align="left" preservecase="true">
              <headtext>Insurance and liability</headtext>
            </head>
            <drafting.note id="a902179" jurisdiction="">
              <head align="left" preservecase="true">
                <headtext>Insurance and liability</headtext>
              </head>
              <division id="a000041" level="1">
                <para>
                  <paratext>
                    The consultant will have personal liability for loss incurred by the client in connection with the provision of the services. Accordingly, this clause requires the consultant to take out comprehensive insurance (with insurers that are acceptable to the client) to cover the risk of any claims (see 
                    <internal.reference refid="a131554">
                      <ital>Drafting note, Insurance Policies</ital>
                    </internal.reference>
                    ). The optional wording in square brackets in 
                    <internal.reference refid="a908873">
                      <ital>clause 10.1</ital>
                    </internal.reference>
                     limits the consultant's liability for losses incurred by the client due to the consultant's (or any substitute's) breach of contract, negligence, recklessness or some other omission or default in the provision of the services.
                  </paratext>
                </para>
                <para>
                  <paratext>
                    <internal.reference refid="a567660">
                      <ital>Clause 10.4</ital>
                    </internal.reference>
                     requires the consultant to ensure that, in the event of a claim by the client, the insurers will indemnify the client directly (rather than paying the consultant, as policy holder). The consultant is required to pay to the client any shortfall between the insurance monies and the amount claimed. In practice, it may be difficult to get insurers to agree to do this.
                  </paratext>
                </para>
              </division>
            </drafting.note>
            <subclause1 id="a908873">
              <identifier>10.1</identifier>
              <para>
                <paratext>The Consultant shall have personal liability for and shall indemnify the Client [and any Group Company] for any loss, liability, costs (including reasonable legal costs), damages or expenses arising from [any breach by the Consultant [or a Substitute engaged by the Consultant] of the terms of this agreement including any negligent or reckless act, omission or default in] the provision of the Services and shall accordingly maintain in force during the Engagement full and comprehensive Insurance Policies.</paratext>
              </para>
            </subclause1>
            <subclause1 id="a955330">
              <identifier>10.2</identifier>
              <para>
                <paratext>The Consultant shall ensure that the Insurance Policies are taken out with reputable insurers acceptable to the Client and that the level of cover and other terms of insurance are acceptable to and agreed by the Client.</paratext>
              </para>
            </subclause1>
            <subclause1 id="a739006">
              <identifier>10.3</identifier>
              <para>
                <paratext>The Consultant shall on request supply to the Client copies of such Insurance Policies and evidence that the relevant premiums have been paid.</paratext>
              </para>
            </subclause1>
            <subclause1 id="a567660">
              <identifier>10.4</identifier>
              <para>
                <paratext>The Consultant shall notify the insurers of the Client's interest and shall cause the interest to be noted on the Insurance Policies [together with a provision to the effect that, if any claim is brought or made by the Client against the Consultant in respect of which the Consultant would be entitled to receive indemnity under any of the Insurance Policies, the relevant insurer will indemnify the Client directly against such claim and any charges, costs and expenses in respect of such claim. If the relevant insurer does not so indemnify the Client, the Consultant shall use all insurance monies received by them to indemnify the Client in respect of any claim and shall make good any deficiency from their own resources].</paratext>
              </para>
            </subclause1>
            <subclause1 id="a929194">
              <identifier>10.5</identifier>
              <para>
                <paratext>The Consultant shall comply with all terms and conditions of the Insurance Policies at all times. If cover under the Insurance Policies shall lapse or not be renewed or be changed in any material way or if the Consultant is aware of any reason why the cover under the Insurance Policies may lapse or not be renewed or be changed in any material way, the Consultant shall notify the Client without delay.</paratext>
              </para>
            </subclause1>
          </clause>
          <clause id="a293418">
            <identifier>11.</identifier>
            <head align="left" preservecase="true">
              <headtext>Termination</headtext>
            </head>
            <drafting.note id="a860665" jurisdiction="">
              <head align="left" preservecase="true">
                <headtext>Termination</headtext>
              </head>
              <division id="a000042" level="1">
                <para>
                  <paratext>
                    <internal.reference refid="a293418">
                      <ital>clause 11</ital>
                    </internal.reference>
                     sets out the circumstances in which the client may terminate the consultant's engagement without notice.
                  </paratext>
                </para>
                <para>
                  <paratext>
                    When exercising its rights under 
                    <internal.reference refid="a741623">
                      <ital>clause 11.1(f)</ital>
                    </internal.reference>
                     (termination where the consultant has been off sick for more than a specified period), the client should be aware of possible breaches of the disability discrimination provisions of the 
                    <link href="0-505-5271" style="ACTLinkPLCtoPLC">
                      <ital>Equality Act 2010</ital>
                    </link>
                     (which also applies to independent contractors who contract personally to carry out services). For more information, see 
                    <link anchor="a724193" href="8-502-3484" style="ACTLinkPLCtoPLC">
                      <ital>Practice note, Discrimination in employment: who is protected and who is liable? (EqA 2010): Who is protected?</ital>
                    </link>
                    .
                  </paratext>
                </para>
                <division id="a674143" level="2">
                  <head align="left" preservecase="true">
                    <headtext>Frustration of contract</headtext>
                  </head>
                  <para>
                    <paratext>
                      When contracting with an individual consultant to complete a particular project, it is advisable for the client to address in the agreement the situation of the consultant dying or becoming incapacitated. 
                      <internal.reference refid="a741623">
                        <ital>Clause 11.1(f)</ital>
                      </internal.reference>
                       can be relied upon by the client to terminate the agreement in these circumstances with no liability for further payments to the consultant (other than liability for amounts accrued before the termination date). This avoids the contract becoming frustrated as in the English case of 
                      <link href="D-000-3876" style="ACTLinkURL">
                        <ital>Atwal and another v Rochester [2010] EWHC 2338</ital>
                      </link>
                       (see 
                      <link href="3-503-4687" style="ACTLinkPLCtoPLC">
                        <ital>Legal update, High Court rules on whether contract was frustrated by contractor's illness</ital>
                      </link>
                      ).
                    </paratext>
                  </para>
                </division>
              </division>
            </drafting.note>
            <subclause1 id="a555995">
              <identifier>11.1</identifier>
              <para>
                <paratext>
                  Notwithstanding the provisions of 
                  <internal.reference refid="a590601">
                    <ital>clause 2.2</ital>
                  </internal.reference>
                  , the Client may terminate the Engagement with immediate effect with no liability to make any further payment to the Consultant (other than in respect of amounts accrued before the Termination Date) if at any time the Consultant:
                </paratext>
              </para>
              <subclause2 id="a656752">
                <identifier>(a)</identifier>
                <para>
                  <paratext>commits any gross misconduct affecting the Business of the Client [or any Group Company];</paratext>
                </para>
              </subclause2>
              <subclause2 id="a704388">
                <identifier>(b)</identifier>
                <para>
                  <paratext>commits any serious or repeated breach or non-observance of any of the provisions of this agreement or refuses or neglects to comply with any reasonable and lawful directions of the Client;</paratext>
                </para>
              </subclause2>
              <subclause2 id="a267292">
                <identifier>(c)</identifier>
                <para>
                  <paratext>is convicted of any criminal offence (other than an offence under any road traffic legislation in the United Kingdom or elsewhere for which a fine or non-custodial penalty is imposed);</paratext>
                </para>
              </subclause2>
              <subclause2 id="a535362">
                <identifier>(d)</identifier>
                <para>
                  <paratext>is in the reasonable opinion of the Board negligent or incompetent in the performance of the Services;</paratext>
                </para>
              </subclause2>
              <subclause2 id="a765156">
                <identifier>(e)</identifier>
                <para>
                  <paratext>is declared bankrupt or makes any arrangement with or for the benefit of their creditors or has a county court administration order made against them under the County Court Act 1984;</paratext>
                </para>
              </subclause2>
              <subclause2 id="a741623">
                <identifier>(f)</identifier>
                <para>
                  <paratext>dies or is incapacitated (including by reason of illness or accident) from providing the Services for an aggregate period of [NUMBER] days in any [52-week] consecutive period;</paratext>
                </para>
              </subclause2>
              <subclause2 id="a730147">
                <identifier>(g)</identifier>
                <para>
                  <paratext>
                    commits any fraud or dishonesty or acts in any manner which in the opinion of the [Client
                    <bold> OR</bold>
                     Board] brings or is likely to bring the Consultant or the Client [or any Group Company] into disrepute or is materially adverse to the interests of the Client [or any Group Company];
                  </paratext>
                </para>
              </subclause2>
              <subclause2 id="a214024">
                <identifier>(h)</identifier>
                <para>
                  <paratext>commits any breach of the Client's policies and procedures; or</paratext>
                </para>
              </subclause2>
              <subclause2 id="a799916">
                <identifier>(i)</identifier>
                <para>
                  <paratext>
                    fails to comply with their obligations under 
                    <internal.reference refid="a140853">
                      <ital>clause 3.11</ital>
                    </internal.reference>
                    , 
                    <internal.reference refid="a257477">
                      <ital>clause 3.12</ital>
                    </internal.reference>
                     or 
                    <internal.reference refid="a771311">
                      <ital>clause 3.13</ital>
                    </internal.reference>
                    .
                  </paratext>
                </para>
              </subclause2>
            </subclause1>
            <subclause1 id="a868828">
              <identifier>11.2</identifier>
              <para>
                <paratext>
                  The rights of the Client under 
                  <internal.reference refid="a555995">
                    <ital>clause 11.1</ital>
                  </internal.reference>
                   are without prejudice to any other rights that it might have at law to terminate the Engagement or to accept any breach of this agreement on the part of the Consultant as having brought the agreement to an end. Any delay by the Client in exercising its rights to terminate shall not constitute a waiver of these rights.
                </paratext>
              </para>
            </subclause1>
          </clause>
          <clause id="a966516">
            <identifier>12.</identifier>
            <head align="left" preservecase="true">
              <headtext>Obligations on termination</headtext>
            </head>
            <drafting.note id="a922852" jurisdiction="">
              <head align="left" preservecase="true">
                <headtext>Obligations on termination</headtext>
              </head>
              <division id="a000043" level="1">
                <para>
                  <paratext>
                    <internal.reference refid="a966516">
                      <ital>Clause 12</ital>
                    </internal.reference>
                     sets out the consultant's obligations to return property (including documents) and delete information relating to the business of the client stored (for example, on their computer) when the engagement terminates.
                  </paratext>
                </para>
              </division>
            </drafting.note>
            <subclause1 id="a975998">
              <para>
                <paratext>
                  [Without prejudice to the Consultant's obligations under 
                  <internal.reference refid="a504848">
                    <ital>clause 7</ital>
                  </internal.reference>
                  , on 
                  <bold>OR</bold>
                   On] the Termination Date, the Consultant shall [and shall procure that any Substitute shall]:
                </paratext>
              </para>
              <subclause2 id="a323427">
                <identifier>(a)</identifier>
                <para>
                  <paratext>immediately deliver to the Client all Client Property in their possession or under their control;</paratext>
                </para>
              </subclause2>
              <subclause2 id="a594616">
                <identifier>(b)</identifier>
                <para>
                  <paratext>subject to the Client's data retention guidelines, irretrievably delete any information relating to the Business of the Client [or any Group Company] stored on any magnetic or optical disk or memory and all matter derived from such sources which is in their possession or under their control outside the premises of the Client; and</paratext>
                </para>
              </subclause2>
              <subclause2 id="a953496">
                <identifier>(c)</identifier>
                <para>
                  <paratext>
                    provide a signed statement that they have complied fully with their obligations under this 
                    <internal.reference refid="a966516">
                      <ital>clause 12</ital>
                    </internal.reference>
                    , together with such evidence of compliance as the Client may reasonably request.
                  </paratext>
                </para>
              </subclause2>
            </subclause1>
          </clause>
          <clause id="a308981">
            <identifier>13.</identifier>
            <head align="left" preservecase="true">
              <headtext>Status</headtext>
            </head>
            <subclause1 id="a805401">
              <identifier>13.1</identifier>
              <para>
                <paratext>The relationship of the Consultant to the Client will be that of independent contractor and nothing in this agreement shall render them an employee, worker, agent or partner of the Client and the Consultant shall not hold themselves out as such.</paratext>
              </para>
              <drafting.note id="a533593" jurisdiction="">
                <head align="left" preservecase="true">
                  <headtext>Parties' intention</headtext>
                </head>
                <division id="a000044" level="1">
                  <para>
                    <paratext>Although the labels that the parties attach to the arrangement will not be conclusive, it is nevertheless advisable to include a clause that evidences the parties' intention that the agreement is a contract for services and not a contract of employment and that the consultant is not an employee or worker of the client.</paratext>
                  </para>
                  <para>
                    <paratext>
                      However, note that in 
                      <link href="D-105-6329" style="ACTLinkPLCtoPLC">
                        <ital>Uber BV v Aslam [2021] UKSC 5</ital>
                      </link>
                       the Supreme Court held that since worker status was created by legislation containing provisions which prevent employers contracting out of the protections it provides, any terms purporting to classify the parties' legal relationship or limit worker protections must be disregarded (see 
                      <link href="w-029-7733" style="ACTLinkPLCtoPLC">
                        <ital>Legal update, Supreme Court unanimously confirms that Uber drivers are workers</ital>
                      </link>
                      ). The Supreme Court noted that worker status is a question of statutory interpretation rather than contractual interpretation. The written documentation between the parties was therefore not the correct starting point. While the written contract should not be ignored, there is no rule that a contractual document represents the parties' true agreement just because an individual has signed it.
                    </paratext>
                  </para>
                  <para>
                    <paratext>
                      For commentary on and details of the application of the 
                      <ital>Uber</ital>
                       decision, as well as some criticism of the decision, see 
                      <link anchor="a556014" href="6-200-4244" style="ACTLinkPLCtoPLC">
                        <ital>Practice note, Employment status (1): employee, worker or self-employed?: Uber and the relevance of the written contract</ital>
                      </link>
                      . While only an EAT decision, in 
                      <link href="D-108-3554" style="ACTLinkPLCtoPLC">
                        <ital>Ter-Berg v Simply Smile Manor House Ltd [2023] EAT 2</ital>
                      </link>
                       it was considered that Lord Leggatt's reference in 
                      <ital>Uber</ital>
                       to it being wrong to treat the contract as a starting point does not mean that the written terms are, in every case, irrelevant. Rather, it means that, where the true intention of the parties is in dispute, it is necessary to consider all the circumstances of the case which may cast light on whether these terms truly reflect their agreement. It is therefore not wrong for an employment tribunal to begin by looking at any written terms, as long as it does not treat this as both the beginning and end of its inquiry.
                    </paratext>
                  </para>
                </division>
              </drafting.note>
            </subclause1>
            <subclause1 id="a964123">
              <identifier>13.2</identifier>
              <para>
                <paratext>This agreement constitutes a contract for the provision of services and not a contract of employment and accordingly the Consultant shall be fully responsible for and shall indemnify the Client [or any Group Company] for and in respect of:</paratext>
              </para>
              <subclause2 id="a834572">
                <identifier>(a)</identifier>
                <para>
                  <paratext>any income tax, National Insurance and social security contributions and any other liability, deduction, contribution, assessment or claim arising from or made in connection with the performance of the Services, where the recovery is not prohibited by law. The Consultant shall further indemnify the Client against all reasonable costs, expenses and any penalty, fine or interest incurred or payable by the Client in connection with or in consequence of any such liability, deduction, contribution, assessment or claim [other than where the latter arise out of the Client's negligence or wilful default]; and</paratext>
                </para>
              </subclause2>
              <subclause2 id="a253339">
                <identifier>(b)</identifier>
                <para>
                  <paratext>any liability arising from any employment-related claim or any claim based on worker status (including reasonable costs and expenses) brought by the Consultant or any Substitute against the Client arising out of or in connection with the provision of the Services, except where such claim is as a result of any act or omission of the Client.</paratext>
                </para>
              </subclause2>
            </subclause1>
            <subclause1 id="a224298">
              <identifier>13.3</identifier>
              <para>
                <paratext>The Client may at its option satisfy such indemnity (in whole or in part) by way of deduction from any payments due to the Consultant.</paratext>
              </para>
              <drafting.note id="a838143" jurisdiction="">
                <head align="left" preservecase="true">
                  <headtext>Indemnities</headtext>
                </head>
                <division id="a000045" level="1">
                  <para>
                    <paratext>
                      <internal.reference refid="a834572">
                        <ital>Clause 13.2(a)</ital>
                      </internal.reference>
                       is an indemnity by the consultant in respect of liability for taxation (including, for example, any penalties and fines) suffered by the client as a result of the consultant being deemed to be an employee for taxation purposes.
                    </paratext>
                  </para>
                  <para>
                    <paratext>
                      In 
                      <link href="http://uk.practicallaw.com/D-007-2822" style="ACTLinkURL">
                        <ital>Demibourne Ltd v HM Revenue and Customs [2005] SpC 00486</ital>
                      </link>
                      , the Special Commissioners held that a company had to pay the full amount of 
                      <link href="4-200-3405" style="ACTLinkPLCtoPLC">
                        <ital>pay as you earn</ital>
                      </link>
                       (PAYE) and NICs due in respect of an individual that had been incorrectly treated as a self-employed consultant without any credit for the tax that had been paid by the individual (see 
                      <link href="5-201-3263" style="ACTLinkPLCtoPLC">
                        <ital>Legal update, Income tax: operation of PAYE</ital>
                      </link>
                      ). The 
                      <link href="7-508-3020" style="ACTLinkPLCtoPLC">
                        <ital>Income Tax (Pay As You Earn) (Amendment) Regulations 2008 (SI 2008/782)</ital>
                      </link>
                       extended the powers of HMRC to transfer PAYE liability from an employer to an employee in certain specified circumstances. This avoids employers having to pay the full amount of tax and then seek restitution from the individual of the amount of tax already paid (and the risk that the employee will have insufficient funds to meet this claim). For further information, see 
                      <link href="6-381-0612" style="ACTLinkPLCtoPLC">
                        <ital>Legal update, Extension of HMRC powers to deal with PAYE recovery</ital>
                      </link>
                      .
                    </paratext>
                  </para>
                  <para>
                    <paratext>
                      Arguably, this means it is no longer necessary to retain the indemnity in 
                      <internal.reference refid="a834572">
                        <ital>clause 13.2(a)</ital>
                      </internal.reference>
                      . However, the client is still vulnerable to HMRC seeking to recover the tax from it, rather than the individual, and so it is sensible to retain the indemnity.
                    </paratext>
                  </para>
                  <para>
                    <paratext>
                      Note that social security legislation outlaws the recovery of secondary class 1 NICs by means of an indemnity (therefore the words "where the recovery is not prohibited by law" are included in 
                      <internal.reference refid="a834572">
                        <ital>clause 13.2(a)</ital>
                      </internal.reference>
                      ).
                    </paratext>
                  </para>
                  <para>
                    <paratext>
                      <internal.reference refid="a253339">
                        <ital>Clause 13.2(b)</ital>
                      </internal.reference>
                       reflects the decision in 
                      <link href="D-101-5794" style="ACTLinkPLCtoPLC">
                        <ital>Gascoigne v Addison Lee Ltd [2017] ET/2200436/2016</ital>
                      </link>
                      . In the tribunal's view, a clause whereby the consultant indemnifies the client for liability relating to claims based on worker status appears designed to "put people off challenging their employment status" (see 
                      <link href="w-009-7597" style="ACTLinkPLCtoPLC">
                        <ital>Legal update: Addison Lee cycle courier was a worker (ET)</ital>
                      </link>
                      ). Accordingly, clause 13.2(b) makes it clear that the consultant will not be required to the indemnify the client where a claim is a result of an act or omission by the client and therefore seeks to address the tribunal's decision in 
                      <ital>Gascoigne</ital>
                      . The tribunal's finding was, however, quite fact specific and should not necessarily deter clients from using such indemnities, particularly outside the gig economy and where there is greater equality of bargaining power between the client and the consultant.
                    </paratext>
                  </para>
                  <para>
                    <paratext>
                      In any event, the parties should note that any attempt to limit or exclude the rights of an employee or worker under the ERA 1996 will be void under 
                      <link href="0-506-3389" style="ACTLinkPLCtoPLC">
                        <ital>section 203</ital>
                      </link>
                      , with the result that the clause would be void if the consultant, or any substitute, is found to be a worker or employee (see 
                      <link href="0-380-9367" style="ACTLinkPLCtoPLC">
                        <ital>Legal update, Application of section 203 ERA to clause denying intention to create legal relations</ital>
                      </link>
                      <ital>)</ital>
                      .
                    </paratext>
                  </para>
                  <para>
                    <paratext>
                      For further information on 
                      <internal.reference refid="a224298">
                        <ital>clause 13.3</ital>
                      </internal.reference>
                      , see 
                      <internal.reference refid="a937681">
                        <ital>Drafting note, Deductions</ital>
                      </internal.reference>
                      .
                    </paratext>
                  </para>
                </division>
              </drafting.note>
            </subclause1>
          </clause>
          <clause id="a258246">
            <identifier>14.</identifier>
            <head align="left" preservecase="true">
              <headtext>Notices</headtext>
            </head>
            <drafting.note id="a628737" jurisdiction="">
              <head align="left" preservecase="true">
                <headtext>Notices</headtext>
              </head>
              <division id="a000046" level="1">
                <para>
                  <paratext>
                    <internal.reference refid="a258246">
                      <ital>Clause 14</ital>
                    </internal.reference>
                     allows for notice to be given either personally or by recorded or registered post. Provision to allow notice to be given by email is provided as an option.
                  </paratext>
                </para>
                <para>
                  <paratext>
                    For alternative boilerplate notices clauses and drafting notes, see 
                    <link href="https://uk.practicallaw.thomsonreuters.com/5-107-3842?originationContext=document&amp;amp;transitionType=DocumentItem&amp;amp;contextData=(sc.Default)" style="ACTLinkURL">
                      <ital>Standard clauses, Notices</ital>
                    </link>
                    .
                  </paratext>
                </para>
              </division>
            </drafting.note>
            <subclause1 id="a616511">
              <identifier>14.1</identifier>
              <para>
                <paratext>Any notice given to a party under or in connection with this agreement shall be in writing and shall be:</paratext>
              </para>
              <subclause2 id="a266735">
                <identifier>(a)</identifier>
                <para>
                  <paratext>delivered by hand or by pre-paid first-class post or other next working day delivery service at the address given in this agreement or as otherwise notified in writing to the other party[.][; or]</paratext>
                </para>
              </subclause2>
              <subclause2 id="a782067">
                <identifier>(b)</identifier>
                <para>
                  <paratext>[sent by email to the following addresses (or an address substituted in writing by the party to be served):</paratext>
                </para>
                <subclause3 id="a958469">
                  <identifier>(i)</identifier>
                  <para>
                    <paratext>Client: [ADDRESS].</paratext>
                  </para>
                </subclause3>
                <subclause3 id="a472111">
                  <identifier>(ii)</identifier>
                  <para>
                    <paratext>Consultant: [ADDRESS].]</paratext>
                  </para>
                </subclause3>
              </subclause2>
            </subclause1>
            <subclause1 id="a172343">
              <identifier>14.2</identifier>
              <para>
                <paratext>Unless proven otherwise, any notice shall be deemed to have been received:</paratext>
              </para>
              <subclause2 id="a195273">
                <identifier>(a)</identifier>
                <para>
                  <paratext>if delivered by hand, at the time the notice is left at the address given in this agreement or given to the addressee[;][or]</paratext>
                </para>
              </subclause2>
              <subclause2 id="a529676">
                <identifier>(b)</identifier>
                <para>
                  <paratext>if sent by [pre-paid first-class post or other] next working day delivery service, at [9.00] am on the [second] Business Day after posting[.][; or]</paratext>
                </para>
              </subclause2>
              <subclause2 condition="optional" id="a786446">
                <identifier>(c)</identifier>
                <para>
                  <paratext>if sent by email, at the time of transmission.</paratext>
                </para>
              </subclause2>
            </subclause1>
            <subclause1 id="a277426">
              <identifier>14.3</identifier>
              <para>
                <paratext>
                  If deemed receipt under 
                  <internal.reference refid="a172343">
                    <ital>clause 14.2</ital>
                  </internal.reference>
                   would occur outside business hours in the place of receipt, it shall be deferred until business hours resume. In this 
                  <internal.reference refid="a277426">
                    <ital>clause 14.3</ital>
                  </internal.reference>
                  , business hours means 9.00am to 5.00pm Monday to Friday on a day that is not a public holiday in the place of receipt.
                </paratext>
              </para>
            </subclause1>
            <subclause1 id="a400235">
              <identifier>14.4</identifier>
              <para>
                <paratext>This clause does not apply to the service of any proceedings or other documents in any legal action or, where applicable, any other method of dispute resolution.</paratext>
              </para>
            </subclause1>
          </clause>
          <clause id="a998129">
            <identifier>15.</identifier>
            <head align="left" preservecase="true">
              <headtext>Entire agreement</headtext>
            </head>
            <drafting.note id="a337290" jurisdiction="">
              <head align="left" preservecase="true">
                <headtext>Entire agreement</headtext>
              </head>
              <division id="a000047" level="1">
                <para>
                  <paratext>
                    The purpose of 
                    <internal.reference refid="a998129">
                      <ital>clause 15</ital>
                    </internal.reference>
                     is to prevent the parties being liable for any statements or representations (including pre-contractual representations) other than those expressly set out in the agreement. For more information, see 
                    <link href="2-107-3834" style="ACTLinkPLCtoPLC">
                      <ital>Standard clause, Entire agreement</ital>
                    </link>
                    .
                  </paratext>
                </para>
                <para>
                  <paratext>
                    We have not included a statement saying that "nothing in this clause shall limit or exclude any liability for fraudulent misrepresentation" on the basis that it is unnecessary (see 
                    <link anchor="a596626" href="3-503-7049" style="ACTLinkPLCtoPLC">
                      <ital>Practice note, Contracts: entire agreement clauses: Fraudulent misrepresentation and express carve-outs</ital>
                    </link>
                    ). If you do expressly carve out fraudulent misrepresentation from your entire agreement clause, review how other allocation of risk clauses in the agreement treat liability for fraud and fraudulent misrepresentation, and make sure a consistent approach is taken throughout the agreement. There is a risk that courts may draw unwanted conclusions from any discrepancies.
                  </paratext>
                </para>
              </division>
            </drafting.note>
            <subclause1 id="a970363">
              <identifier>15.1</identifier>
              <para>
                <paratext>This agreement constitutes the entire agreement between the parties [and any Group Company] and supersedes and extinguishes all previous and contemporaneous agreements, promises, assurances and understandings between them, whether written or oral, relating to its subject matter.</paratext>
              </para>
            </subclause1>
            <subclause1 id="a175777">
              <identifier>15.2</identifier>
              <para>
                <paratext>Each party acknowledges that in entering into this agreement it does not rely on[, and shall have no remedies in respect of,] any statement, representation, assurance or warranty (whether made innocently or negligently) that is not set out in this agreement.</paratext>
              </para>
            </subclause1>
            <subclause1 id="a641078">
              <identifier>15.3</identifier>
              <para>
                <paratext>Each party agrees that it shall have no claim for innocent or negligent misrepresentation [or negligent misstatement] based on any statement in this agreement.</paratext>
              </para>
            </subclause1>
          </clause>
          <clause id="a864294">
            <identifier>16.</identifier>
            <head align="left" preservecase="true">
              <headtext>Variation</headtext>
            </head>
            <subclause1 id="a327630">
              <para>
                <paratext>No variation of this agreement [or of any of the documents referred to in it] shall be effective unless it is in writing and signed by the parties (or their authorised representatives).</paratext>
              </para>
            </subclause1>
          </clause>
          <clause id="a877743">
            <identifier>17.</identifier>
            <head align="left" preservecase="true">
              <headtext>Counterparts</headtext>
            </head>
            <drafting.note id="a975865" jurisdiction="">
              <head align="left" preservecase="true">
                <headtext>Counterparts</headtext>
              </head>
              <division id="a000048" level="1">
                <para>
                  <paratext>
                    <internal.reference refid="a541239">
                      <ital>Clause 17.2</ital>
                    </internal.reference>
                     has been included in square brackets as an optional clause, given the risk of the clause being interpreted as a subject to contract provision. For more commentary on this point, see 
                    <link anchor="a200157" href="1-107-3844" style="ACTLinkPLCtoPLC">
                      <ital>Standard clause, Counterparts: Drafting note: "Subject to contract" effect (optional clause)</ital>
                    </link>
                    .
                  </paratext>
                </para>
              </division>
            </drafting.note>
            <subclause1 id="a935661">
              <identifier>17.1</identifier>
              <para>
                <paratext>This agreement may be executed in any number of counterparts, each of which constitutes a duplicate original, but all the counterparts together constitute the one agreement.</paratext>
              </para>
            </subclause1>
            <subclause1 id="a541239">
              <identifier>17.2</identifier>
              <para>
                <paratext>[No counterpart shall be effective until each party has delivered to the other at least one executed counterpart.]</paratext>
              </para>
            </subclause1>
          </clause>
          <clause id="a986020">
            <identifier>18.</identifier>
            <head align="left" preservecase="true">
              <headtext>Third party rights</headtext>
            </head>
            <drafting.note id="a523392" jurisdiction="">
              <head align="left" preservecase="true">
                <headtext>Third party rights</headtext>
              </head>
              <division id="a000049" level="1">
                <para>
                  <paratext>
                    The 
                    <link href="9-505-5610" style="ACTLinkPLCtoPLC">
                      <ital>Contracts (Rights of Third Parties) Act 1999</ital>
                    </link>
                     allows a third party to enforce a term of a contract against the parties to that contract. It is usually advisable to exclude the operation of the Act.
                  </paratext>
                </para>
                <para>
                  <paratext>However, if the client is part of a group, the words in square brackets should be included and care should be taken to ensure that the relevant clauses in the agreement are amended to expressly state that a group company has the right to enforce that clause against the consultant.</paratext>
                </para>
                <para>
                  <paratext>
                    The clause provides that the parties can amend, vary or terminate the consultancy agreement without a third party's consent. If it is intended that the consent of a group company is required, this should be expressly stated. For more information, see 
                    <link href="6-107-3846" style="ACTLinkPLCtoPLC">
                      <ital>Standard clause, Third party rights</ital>
                    </link>
                    .
                  </paratext>
                </para>
              </division>
            </drafting.note>
            <subclause1 id="a278566">
              <identifier>18.1</identifier>
              <para>
                <paratext>
                  [Except as expressly provided elsewhere in this agreement, a 
                  <bold>OR</bold>
                   A] person who is not a party to this agreement shall not have any rights under the Contracts (Rights of Third Parties) Act 1999 to enforce any term of this agreement. [This does not affect any right or remedy of a third party which exists, or is available, apart from that Act.]
                </paratext>
              </para>
            </subclause1>
            <subclause1 id="a856027">
              <identifier>18.2</identifier>
              <para>
                <paratext>The rights of the parties to terminate, rescind or agree any variation, waiver or settlement under this agreement are not subject to the consent of any other person.</paratext>
              </para>
            </subclause1>
          </clause>
          <clause id="a565913">
            <identifier>19.</identifier>
            <head align="left" preservecase="true">
              <headtext>Governing law</headtext>
            </head>
            <drafting.note id="a984435" jurisdiction="">
              <head align="left" preservecase="true">
                <headtext>Governing law</headtext>
              </head>
              <division id="a000050" level="1">
                <para>
                  <paratext>The agreement is drafted on the basis that it is governed by English law.</paratext>
                </para>
                <para>
                  <paratext>
                    <internal.reference refid="a565913">
                      <ital>Clause 19</ital>
                    </internal.reference>
                     is drafted so that the matters over which jurisdiction is conferred are widely defined.
                  </paratext>
                </para>
                <para>
                  <paratext>
                    Under 
                    <link href="3-501-0375" style="ACTLinkPLCtoPLC">Rome I</link>
                     (
                    <link href="0-506-1432" style="ACTLinkPLCtoPLC">
                      <ital>Regulation (EC) 593/2008</ital>
                    </link>
                    ), a choice of law clause cannot be used to avoid a country's so-called "mandatory rules". In a UK employment context, these include statutory employment rights since the parties cannot contract out of them. A self-employed consultant may be covered by a range of UK statutory employment rights, including provisions on working time, whistleblowing and discrimination. Where a consultant working abroad has the benefit of mandatory rights in that country, the choice of UK law in the contract will not prejudice those rights (see 
                    <link href="0-201-3492" style="ACTLinkPLCtoPLC">
                      <ital>Practice note, The territorial scope of UK statutory employment rights</ital>
                    </link>
                    ).
                  </paratext>
                </para>
                <para>
                  <paratext>
                    <internal.reference refid="a565913">
                      <ital>Clause 19</ital>
                    </internal.reference>
                     also purports to deal with the governing law for non-contractual claims such as tort claims. Rome II (
                    <link href="4-505-5721" style="ACTLinkPLCtoPLC">
                      <ital>Regulation (EC) 864/2007</ital>
                    </link>
                    ) (which applied from 11 January 2009) allows parties to agree a governing law for non-contractual obligations. Unless entered into after a dispute has arisen, such a clause will only be effective under 
                    <link href="1-501-0376" style="ACTLinkPLCtoPLC">
                      <ital>Rome II</ital>
                    </link>
                     if the parties are both pursuing a commercial activity and the contract is freely negotiated (see 
                    <link href="6-382-5703" style="ACTLinkPLCtoPLC">
                      <ital>Practice note, Governing law: non-contractual obligations</ital>
                    </link>
                    ).
                  </paratext>
                </para>
                <para>
                  <paratext>
                    <bold>Rome I and Rome II following the UK's departure from the EU</bold>
                  </paratext>
                </para>
                <para>
                  <paratext>The Rome I and Rome II Regulations continued to apply in the UK during the UK-EU transition period, which ended at 11 pm on 31 December 2020. They also continue to apply after this date to:</paratext>
                </para>
                <list type="bulleted">
                  <list.item>
                    <para>
                      <paratext>
                        contracts concluded 
                        <bold>before</bold>
                         11 pm on 31 December 2020 (Rome I); and
                      </paratext>
                    </para>
                  </list.item>
                  <list.item>
                    <para>
                      <paratext>
                        events giving rise to damage, where such events occurred 
                        <bold>before</bold>
                         11 pm on 31 December 2020 (Rome II).
                      </paratext>
                    </para>
                  </list.item>
                </list>
                <para>
                  <paratext>
                    (See Article 66, 
                    <link href="_blank" style="ACTLinkPLCtoPLC">
                      <ital>UK-EU Withdrawal Agreement</ital>
                    </link>
                    .)
                  </paratext>
                </para>
                <para>
                  <paratext>
                    As the UK government has unilaterally retained in domestic law Rome I (and Rome II), 
                    <link href="https://uk.practicallaw.thomsonreuters.com/w-028-1009?originationContext=document&amp;amp;transitionType=PLDocumentLink&amp;amp;contextData=(sc.Default)" style="ACTLinkURL">
                      <ital>UK Rome I</ital>
                    </link>
                     applies in the UK when determining the validity and enforceability of governing law clauses in contracts concluded 
                    <bold>after</bold>
                     31 December 2020. This means that, subject to certain exceptions relating to the application of mandatory rules, governing law clauses continue to be upheld by the English courts.
                  </paratext>
                </para>
                <para>
                  <paratext>
                    For detailed information on governing law clauses, see 
                    <link href="4-107-3852" style="ACTLinkPLCtoPLC">
                      <ital>Practice note, Governing law and jurisdiction clauses</ital>
                    </link>
                     (in particular, 
                    <link anchor="a284202" href="4-107-3852" style="ACTLinkPLCtoPLC">
                      <ital>Effect of the UK leaving the EU on governing law and jurisdiction clauses</ital>
                    </link>
                    ) and the integrated drafting notes to 
                    <link href="https://uk.practicallaw.thomsonreuters.com/8-107-3850?originationContext=document&amp;amp;transitionType=DocumentItem&amp;amp;contextData=(sc.Default)" style="ACTLinkURL">
                      <ital>Standard clause, Governing law</ital>
                    </link>
                    .
                  </paratext>
                </para>
              </division>
            </drafting.note>
            <subclause1 id="a155263">
              <para>
                <paratext>This agreement and any dispute or claim arising out of or in connection with it or its subject matter or formation (including non-contractual disputes or claims) shall be governed by and construed in accordance with the law of England and Wales.</paratext>
              </para>
            </subclause1>
          </clause>
          <clause id="a240549">
            <identifier>20.</identifier>
            <head align="left" preservecase="true">
              <headtext>Jurisdiction</headtext>
            </head>
            <drafting.note id="a591871" jurisdiction="">
              <head align="left" preservecase="true">
                <headtext>Jurisdiction</headtext>
              </head>
              <division id="a000051" level="1">
                <para>
                  <paratext>A jurisdiction clause enables the parties to agree at the outset of their contractual relationship which country's or countries' courts are to have jurisdiction to hear disputes arising from the contract. The parties may decide to confer either exclusive or non-exclusive jurisdiction on the chosen courts.</paratext>
                </para>
                <list type="bulleted">
                  <list.item>
                    <para>
                      <paratext>A choice of exclusive jurisdiction will prevent one party from bringing proceedings against the other in the courts of any country other than the country set out in the agreement (in this case, England and Wales). Were that party to do so, the other party would be entitled to have the proceedings stayed.</paratext>
                    </para>
                  </list.item>
                  <list.item>
                    <para>
                      <paratext>A choice of non-exclusive jurisdiction will enable either party to bring proceedings against the other either in the courts of the chosen country, or in the courts of any other country which have jurisdiction over the dispute under their own jurisdictional rules. The suing party does not need to bring proceedings in the country designated as having non-exclusive jurisdiction first.</paratext>
                    </para>
                  </list.item>
                </list>
                <para>
                  <paratext>
                    It may be appropriate to include an arbitration or alternative dispute resolution clause within the agreement. For further information, see 
                    <link href="9-107-3859" style="ACTLinkPLCtoPLC">
                      <ital>Standard clauses, Alternative dispute resolution</ital>
                    </link>
                    .
                  </paratext>
                </para>
                <para>
                  <paratext>
                    For detailed information on jurisdiction clauses, and the impact of Brexit, see 
                    <link href="4-107-3852" style="ACTLinkPLCtoPLC">
                      <ital>Practice note, Governing law and jurisdiction clauses</ital>
                    </link>
                     (in particular, 
                    <link anchor="a284202" href="4-107-3852" style="ACTLinkPLCtoPLC">
                      <ital>Effect of the UK leaving the EU on governing law and jurisdiction clauses</ital>
                    </link>
                    ) and the integrated drafting notes to 
                    <link href="https://uk.practicallaw.thomsonreuters.com/9-522-6848?originationContext=document&amp;amp;transitionType=DocumentItem&amp;amp;contextData=%28sc.Default%29&amp;amp;comp=pluk" style="ACTLinkURL">
                      <ital>Standard clause, Jurisdiction</ital>
                    </link>
                    .
                  </paratext>
                </para>
              </division>
            </drafting.note>
            <subclause1 id="a822178">
              <para>
                <paratext>
                  Each party irrevocably agrees that the courts of England and Wales shall have [exclusive 
                  <bold>OR</bold>
                   non-exclusive] jurisdiction to settle any dispute or claim arising out of or in connection with this agreement or its subject matter or formation (including non-contractual disputes or claims).
                </paratext>
              </para>
            </subclause1>
          </clause>
        </operative>
        <testimonium default="false" wording="contract">
          <para>
            <paratext>This document has been executed as a deed and is delivered and takes effect on the date stated at the beginning of it.</paratext>
          </para>
        </testimonium>
        <disclosure.schedule>
          <schedule id="a551048">
            <identifier>Schedule 1</identifier>
            <head align="left" preservecase="true">
              <headtext>Services</headtext>
            </head>
            <drafting.note id="a142993" jurisdiction="">
              <head align="left" preservecase="true">
                <headtext>Details of the services</headtext>
              </head>
              <division id="a000052" level="1">
                <para>
                  <paratext>
                    It will help to avoid potential future disputes if a client spends time determining details of the services, deliverables and milestones before the engagement starts. This schedule anticipates that specific deliverables will be identified (see 
                    <internal.reference refid="a84783">
                      <ital>Drafting note, General duties</ital>
                    </internal.reference>
                    ). If payments will be staged and linked to the achievement of certain deliverables, it will be particularly important that the deliverables are described precisely and accurately in this schedule. Both the client and the consultant will want to avoid disputes about whether a deliverable has been achieved and, as a result, whether a fee has become payable (
                    <internal.reference refid="a839540">
                      <ital>clause 4</ital>
                    </internal.reference>
                    ). If a deliverables-based approach is not taken, any references to deliverables can be removed from this schedule.
                  </paratext>
                </para>
                <para>
                  <paratext>
                    For a more detailed schedule, including acceptance criteria, see 
                    <link anchor="a265587" href="3-623-0753" style="ACTLinkPLCtoPLC">
                      <ital>Standard document, Services agreement (pro-customer): Services Details</ital>
                    </link>
                    .
                  </paratext>
                </para>
              </division>
            </drafting.note>
            <para>
              <paratext>[INCLUDE THE FOLLOWING MATTERS:</paratext>
            </para>
            <list type="bulleted">
              <list.item>
                <para>
                  <paratext>OVERVIEW OF SERVICES;</paratext>
                </para>
              </list.item>
              <list.item>
                <para>
                  <paratext>DETAILS OF THE DELIVERABLES TO BE ACHIEVED IN THE PROVISION OF THE SERVICES;</paratext>
                </para>
              </list.item>
              <list.item>
                <para>
                  <paratext>THE LOCATION(S) WHERE THE SERVICES ARE TO BE PERFORMED;</paratext>
                </para>
              </list.item>
              <list.item>
                <para>
                  <paratext>CLIENT POINT OF CONTACT AND ANY REPORTS TO BE SUBMITTED;</paratext>
                </para>
              </list.item>
              <list.item>
                <para>
                  <paratext>TIMETABLE FOR PROVISION OF THE SERVICES, INCLUDING ANY MILESTONES RELATED TO THE ACHIEVEMENT OF SPECIFIC DELIVERABLES;</paratext>
                </para>
              </list.item>
              <list.item>
                <para>
                  <paratext>ANY APPLICABLE ACCEPTANCE CRITERIA; AND</paratext>
                </para>
              </list.item>
              <list.item>
                <para>
                  <paratext>WHETHER THE SERVICES WILL NEED TO BE PROVIDED TO ANY OTHER GROUP COMPANIES.]</paratext>
                </para>
              </list.item>
            </list>
          </schedule>
          <schedule id="a697218">
            <identifier>Schedule 2</identifier>
            <head align="left" preservecase="true">
              <headtext>Processing, Personal data and Data subjects</headtext>
            </head>
            <part id="a606909">
              <identifier>Part 1</identifier>
              <head align="left" preservecase="true">
                <headtext>PROCESSING BY THE CONSULTANT</headtext>
              </head>
              <clause id="a212886">
                <identifier>1.</identifier>
                <head align="left" preservecase="true">
                  <headtext>SCOPE</headtext>
                </head>
              </clause>
              <clause id="a213636">
                <identifier>2.</identifier>
                <head align="left" preservecase="true">
                  <headtext>NATURE</headtext>
                </head>
              </clause>
              <clause id="a947288">
                <identifier>3.</identifier>
                <head align="left" preservecase="true">
                  <headtext>PURPOSE OF THE PROCESSING</headtext>
                </head>
              </clause>
              <clause id="a757860">
                <identifier>4.</identifier>
                <head align="left" preservecase="true">
                  <headtext>DURATION OF THE PROCESSING</headtext>
                </head>
              </clause>
            </part>
            <part id="a935511">
              <identifier>Part 2</identifier>
              <head align="left" preservecase="true">
                <headtext>TYPES OF PERSONAL DATA</headtext>
              </head>
            </part>
            <part id="a773555">
              <identifier>Part 3</identifier>
              <head align="left" preservecase="true">
                <headtext>CATEGORIES OF DATA SUBJECT</headtext>
              </head>
            </part>
          </schedule>
          <schedule condition="optional" id="a536839">
            <identifier>Schedule 3</identifier>
            <head align="left" preservecase="true">
              <headtext>Ethics and Anti-bribery and Anti-corruption policies</headtext>
            </head>
          </schedule>
          <schedule condition="optional" id="a354018">
            <identifier>Schedule 4</identifier>
            <head align="left" preservecase="true">
              <headtext>Anti-facilitation of tax evasion policy</headtext>
            </head>
          </schedule>
          <schedule condition="optional" id="a236405">
            <identifier>Schedule 5</identifier>
            <head align="left" preservecase="true">
              <headtext>Industry Codes</headtext>
            </head>
          </schedule>
        </disclosure.schedule>
        <signature default="true" pagebreak="true" signaturemessage="no">
          <para>
            <paratext>
              <table frame="none" pgwide="1">
                <tgroup cols="3">
                  <colspec colname="1" colnum="1" colwidth="33"/>
                  <colspec colname="2" colnum="2" colwidth="33"/>
                  <colspec colname="3" colnum="3" colwidth="33"/>
                  <tbody>
                    <row>
                      <entry valign="top">
                        <para align="left">
                          <paratext>Executed as a deed by [NAME OF CLIENT]</paratext>
                        </para>
                        <para align="left">
                          <paratext>acting by [NAME OF FIRST DIRECTOR], a director and [NAME OF SECOND DIRECTOR/SECRETARY], [a director OR its secretary]</paratext>
                        </para>
                      </entry>
                      <entry valign="top">
                        <para>
                          <paratext/>
                        </para>
                      </entry>
                      <entry valign="top">
                        <para align="left">
                          <paratext>....................</paratext>
                        </para>
                        <para align="left">
                          <paratext>[SIGNATURE OF FIRST DIRECTOR]</paratext>
                        </para>
                        <para align="left">
                          <paratext>Director</paratext>
                        </para>
                        <para align="left">
                          <paratext>....................</paratext>
                        </para>
                        <para align="left">
                          <paratext>[SIGNATURE OF SECOND DIRECTOR OR SECRETARY]</paratext>
                        </para>
                        <para align="left">
                          <paratext>[Director OR Secretary]</paratext>
                        </para>
                      </entry>
                    </row>
                    <row>
                      <entry valign="top">
                        <para align="left">
                          <paratext>OR</paratext>
                        </para>
                      </entry>
                    </row>
                    <row>
                      <entry valign="top">
                        <para align="left">
                          <paratext>Executed as a deed by [NAME OF CLIENT]</paratext>
                        </para>
                        <para align="left">
                          <paratext>acting by [NAME OF DIRECTOR] a director, in the presence of:</paratext>
                        </para>
                        <para align="left">
                          <paratext>....................</paratext>
                        </para>
                        <para align="left">
                          <paratext>[SIGNATURE OF WITNESS]</paratext>
                        </para>
                        <para align="left">
                          <paratext>[NAME, ADDRESS [AND OCCUPATION] OF WITNESS]</paratext>
                        </para>
                      </entry>
                      <entry valign="top">
                        <para>
                          <paratext/>
                        </para>
                      </entry>
                      <entry valign="top">
                        <para align="left">
                          <paratext>....................</paratext>
                        </para>
                        <para align="left">
                          <paratext>[SIGNATURE OF DIRECTOR]</paratext>
                        </para>
                        <para align="left">
                          <paratext>Director</paratext>
                        </para>
                      </entry>
                    </row>
                    <row>
                      <entry valign="top">
                        <para>
                          <paratext/>
                        </para>
                      </entry>
                    </row>
                    <row>
                      <entry nameend="3" namest="1" valign="top">
                        <para>
                          <paratext/>
                        </para>
                      </entry>
                    </row>
                    <row>
                      <entry valign="top">
                        <para align="left">
                          <paratext>Signed as a deed by [NAME OF CONSULTANT] in the presence of:</paratext>
                        </para>
                      </entry>
                      <entry valign="top">
                        <para>
                          <paratext/>
                        </para>
                      </entry>
                      <entry valign="top">
                        <para align="left">
                          <paratext>....................</paratext>
                        </para>
                        <para align="left">
                          <paratext>[SIGNATURE OF Consultant]</paratext>
                        </para>
                      </entry>
                    </row>
                    <row>
                      <entry valign="top">
                        <para align="left">
                          <paratext>....................</paratext>
                        </para>
                        <para align="left">
                          <paratext>[SIGNATURE OF WITNESS]</paratext>
                        </para>
                        <para align="left">
                          <paratext>[NAME, ADDRESS [AND OCCUPATION] OF WITNESS]</paratext>
                        </para>
                      </entry>
                      <entry valign="top">
                        <para>
                          <paratext/>
                        </para>
                      </entry>
                      <entry valign="top">
                        <para>
                          <paratext/>
                        </para>
                      </entry>
                    </row>
                    <row>
                      <entry valign="top">
                        <para>
                          <paratext/>
                        </para>
                      </entry>
                    </row>
                    <row>
                      <entry nameend="3" namest="1" valign="top">
                        <para>
                          <paratext/>
                        </para>
                      </entry>
                    </row>
                  </tbody>
                </tgroup>
              </table>
            </paratext>
          </para>
          <drafting.note id="a354510" jurisdiction="">
            <head align="left" preservecase="true">
              <headtext>Execution</headtext>
            </head>
            <division id="a000053" level="1">
              <para>
                <paratext>The agreement should be executed as a deed as it contains a power of attorney provision (regarding the assignment of intellectual property rights by the consultant).</paratext>
              </para>
              <para>
                <paratext>It is arguable that only the consultant needs to execute the agreement as a deed and the client can execute as a simple agreement (that is, by an authorised signatory only as opposed to by two directors or a director and a secretary).</paratext>
              </para>
              <para>
                <paratext>However, there is uncertainty whether this would affect the validity of execution as a deed by the consultant. In addition, there are different limitation periods for deeds and agreements (12 years and six years respectively). On balance, therefore, if execution as a deed is required, it is advisable for both parties to execute the document as a deed.</paratext>
              </para>
              <para>
                <paratext>A document will be validly executed if it is signed on behalf of the company by either two authorised signatories or by a director of the company in the presence of a witness who attests the signature. Authorised signatories are each of the company's directors and the company secretary.</paratext>
              </para>
              <para>
                <paratext>
                  For further information on the execution of deeds and documents, see 
                  <link href="0-380-8400" style="ACTLinkPLCtoPLC">
                    <ital>Practice note, Execution of deeds and documents</ital>
                  </link>
                  <ital>.</ital>
                   Signature and execution formalities should always be considered and respected. For example, a signature on an earlier version of a deed cannot be transferred to effectively execute the final version (see 
                  <link href="D-000-4017" style="ACTLinkURL">
                    <ital>R ((1) Mercury Tax Group Ltd and (2) Darren Neil Masters) v (1) HMRC, (2) Crown Court, (3) James Michael Preston and (4) David Cook [2008] EWHC 2721 (Admin)</ital>
                  </link>
                  ; 
                  <link href="4-384-2510" style="ACTLinkPLCtoPLC">
                    <ital>Legal update,  A cautionary tale: High Court comments on transfer of signatures to amended versions</ital>
                  </link>
                  ).
                </paratext>
              </para>
            </division>
          </drafting.note>
        </signature>
      </body>
      <rev.history>
        <rev.item>
          <rev.title>Use of AI (August 2025)</rev.title>
          <rev.date>20250827</rev.date>
          <rev.author>PL Employment</rev.author>
          <rev.body>
            <division id="a000001" level="1">
              <para>
                <paratext>
                  We have inserted a new 
                  <internal.reference refid="a362444">
                    <ital>Drafting note, Use of AI by consultant</ital>
                  </internal.reference>
                  .
                </paratext>
              </para>
            </division>
          </rev.body>
        </rev.item>
        <rev.item>
          <rev.title>Prevention of fraud (August 2025)</rev.title>
          <rev.date>20250827</rev.date>
          <rev.author>PL Employment</rev.author>
          <rev.body>
            <division id="a000002" level="1">
              <para>
                <paratext>
                  We have inserted a new 
                  <internal.reference refid="a771311">
                    <ital>clause 3.13</ital>
                  </internal.reference>
                   and 
                  <internal.reference refid="a794222">
                    <ital>Drafting note, Prevention of fraud</ital>
                  </internal.reference>
                   to take into account the corporate offence of failing to prevent fraud set out in section 199 of the Economic Crime and Corporate Transparency Act 2023. We have also inserted a new 
                  <internal.reference refid="a799916">
                    <ital>clause 11.1(i)</ital>
                  </internal.reference>
                  , removed old clauses 11.1(i) and (j), and made 
                  <internal.reference refid="a605480">
                    <ital>clause 3.12(b)</ital>
                  </internal.reference>
                   non-optional.
                </paratext>
              </para>
            </division>
          </rev.body>
        </rev.item>
        <rev.item>
          <rev.title>Confidentiality provisions and obligations on termination (November 2024)</rev.title>
          <rev.date>20241122</rev.date>
          <rev.author>PL Employment</rev.author>
          <rev.body>
            <division id="a000003" level="1">
              <para>
                <paratext>
                  We have updated 
                  <ital>Definition: </ital>
                  <internal.reference refid="a364540">
                    <ital>Confidential Information</ital>
                  </internal.reference>
                  , 
                  <internal.reference refid="a871156">
                    <ital>Drafting note, Confidential Information (optional definition)</ital>
                  </internal.reference>
                  , 
                  <internal.reference refid="a504848">
                    <ital>clause 7</ital>
                  </internal.reference>
                   (which is now optional), 
                  <internal.reference refid="a378057">
                    <ital>Drafting note, Confidential information (optional clause)</ital>
                  </internal.reference>
                  , 
                  <internal.reference refid="a966516">
                    <ital>clause 12</ital>
                  </internal.reference>
                   and 
                  <internal.reference refid="a922852">
                    <ital>Drafting note, Obligations on termination</ital>
                  </internal.reference>
                  . We have also inserted new 
                  <ital>Definition: </ital>
                  <internal.reference refid="a256239">
                    <ital>Copies</ital>
                  </internal.reference>
                  , 
                  <internal.reference refid="a776117">
                    <ital>Drafting note, Copies (optional definition)</ital>
                  </internal.reference>
                  , 
                  <ital>Definition:</ital>
                  <internal.reference refid="a783284">
                    <ital>HMRC</ital>
                  </internal.reference>
                   and 
                  <internal.reference refid="a840832">
                    <ital>Drafting note, Confidentiality "carve-outs"</ital>
                  </internal.reference>
                  . The drafting notes refer to the updated SRA Warning Notice.
                </paratext>
              </para>
            </division>
          </rev.body>
        </rev.item>
        <rev.item>
          <rev.title>Boilerplate review (September 2024)</rev.title>
          <rev.date>20240930</rev.date>
          <rev.author>PL Employment</rev.author>
          <rev.body>
            <division id="a000004" level="1">
              <para>
                <paratext>
                  We have carried out a review of our boilerplate clauses. As part of this we have added a definition of "writing" and "written" to 
                  <internal.reference refid="a284888">
                    <ital>clause 1</ital>
                  </internal.reference>
                   (Interpretation) and made amendments to 
                  <internal.reference refid="a337290">
                    <ital>Drafting note, Entire agreement</ital>
                  </internal.reference>
                   to explain why the agreement does not contain a clause on fraudulent misrepresentation.
                </paratext>
              </para>
            </division>
          </rev.body>
        </rev.item>
        <rev.item>
          <rev.title>Boilerplate provisions and substitution drafting note (March 2022)</rev.title>
          <rev.date>20220322</rev.date>
          <rev.author>PL Employment</rev.author>
          <rev.body>
            <division id="a000005" level="1">
              <para>
                <paratext>
                  We have completed an annual review of the boilerplate provisions of this agreement, including removal of references to sending of notices by fax, in accordance with PL Commercial's boilerplate clauses. We have also updated 
                  <internal.reference refid="a245437">
                    <ital>Drafting note, Appointment of substitute (optional clause)</ital>
                  </internal.reference>
                   to refer to the Court of Appeal's decision in 
                  <ital>Stuart Delivery Ltd v Augustine [2021] EWCA Civ 1514.</ital>
                </paratext>
              </para>
            </division>
          </rev.body>
        </rev.item>
        <rev.item>
          <rev.title>Carve-outs to confidentiality provisions (March 2022)</rev.title>
          <rev.date>20220303</rev.date>
          <rev.author>PL Employment</rev.author>
          <rev.body>
            <division id="a000006" level="1">
              <para>
                <paratext>
                  We have inserted a new 
                  <ital>clause 7.4(f).</ital>
                </paratext>
              </para>
            </division>
          </rev.body>
        </rev.item>
      </rev.history>
    </standard.doc>
  </n-docbody>
</n-document>
</file>

<file path=customXml/item3.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2.xml><?xml version="1.0" encoding="utf-8"?>
<ds:datastoreItem xmlns:ds="http://schemas.openxmlformats.org/officeDocument/2006/customXml" ds:itemID="{0CC07CB4-11F5-47B4-AD2C-4AAF36F2CDA5}">
  <ds:schemaRefs>
    <ds:schemaRef ds:uri="http://www.w3.org/2001/XMLSchema"/>
  </ds:schemaRefs>
</ds:datastoreItem>
</file>

<file path=customXml/itemProps3.xml><?xml version="1.0" encoding="utf-8"?>
<ds:datastoreItem xmlns:ds="http://schemas.openxmlformats.org/officeDocument/2006/customXml" ds:itemID="{DCA33DB4-93E0-4A90-9D97-4A24A68ACCB3}">
  <ds:schemaRefs>
    <ds:schemaRef ds:uri="http://schemas.openxmlformats.org/wordprocessingml/2006/main"/>
    <ds:schemaRef ds:uri="http://schemas.openxmlformats.org/officeDocument/2006/relationships"/>
    <ds:schemaRef ds:uri="http://schemas.microsoft.com/office/word/2012/wordml"/>
    <ds:schemaRef ds:uri="http://schemas.openxmlformats.org/officeDocument/2006/math"/>
    <ds:schemaRef ds:uri="http://schemas.openxmlformats.org/schemaLibrary/2006/main"/>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29</Pages>
  <Words>7708</Words>
  <Characters>43936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agreement</dc:title>
  <cp:lastModifiedBy>Heron, Samantha</cp:lastModifiedBy>
  <cp:revision>957</cp:revision>
  <cp:lastPrinted>2020-03-10T17:03:00Z</cp:lastPrinted>
  <dcterms:created xsi:type="dcterms:W3CDTF">2014-09-04T10:14:00Z</dcterms:created>
  <dcterms:modified xsi:type="dcterms:W3CDTF">2025-09-10T10:19:00Z</dcterms:modified>
</cp:coreProperties>
</file>